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autoSpaceDE/>
        <w:autoSpaceDN/>
        <w:bidi w:val="0"/>
        <w:spacing w:line="440" w:lineRule="exact"/>
        <w:rPr>
          <w:rFonts w:hint="default" w:ascii="Times New Roman" w:hAnsi="Times New Roman" w:eastAsia="黑体" w:cs="Times New Roman"/>
          <w:spacing w:val="12"/>
          <w:sz w:val="28"/>
          <w:szCs w:val="28"/>
        </w:rPr>
      </w:pPr>
      <w:r>
        <w:rPr>
          <w:rFonts w:hint="default" w:ascii="Times New Roman" w:hAnsi="Times New Roman" w:eastAsia="黑体" w:cs="Times New Roman"/>
          <w:spacing w:val="12"/>
          <w:sz w:val="28"/>
          <w:szCs w:val="28"/>
        </w:rPr>
        <w:t>金湖县十</w:t>
      </w:r>
      <w:r>
        <w:rPr>
          <w:rFonts w:hint="default" w:ascii="Times New Roman" w:hAnsi="Times New Roman" w:eastAsia="黑体" w:cs="Times New Roman"/>
          <w:spacing w:val="12"/>
          <w:sz w:val="28"/>
          <w:szCs w:val="28"/>
          <w:lang w:val="en-US" w:eastAsia="zh-CN"/>
        </w:rPr>
        <w:t>四</w:t>
      </w:r>
      <w:r>
        <w:rPr>
          <w:rFonts w:hint="default" w:ascii="Times New Roman" w:hAnsi="Times New Roman" w:eastAsia="黑体" w:cs="Times New Roman"/>
          <w:spacing w:val="12"/>
          <w:sz w:val="28"/>
          <w:szCs w:val="28"/>
        </w:rPr>
        <w:t>届人大</w:t>
      </w:r>
    </w:p>
    <w:p>
      <w:pPr>
        <w:keepNext w:val="0"/>
        <w:keepLines w:val="0"/>
        <w:pageBreakBefore w:val="0"/>
        <w:widowControl w:val="0"/>
        <w:kinsoku/>
        <w:wordWrap/>
        <w:topLinePunct w:val="0"/>
        <w:autoSpaceDE/>
        <w:autoSpaceDN/>
        <w:bidi w:val="0"/>
        <w:spacing w:line="440" w:lineRule="exact"/>
        <w:rPr>
          <w:rFonts w:hint="default" w:ascii="Times New Roman" w:hAnsi="Times New Roman" w:eastAsia="仿宋_GB2312" w:cs="Times New Roman"/>
          <w:spacing w:val="68"/>
          <w:sz w:val="32"/>
          <w:szCs w:val="32"/>
        </w:rPr>
      </w:pPr>
      <w:r>
        <w:rPr>
          <w:rFonts w:hint="default" w:ascii="Times New Roman" w:hAnsi="Times New Roman" w:eastAsia="黑体" w:cs="Times New Roman"/>
          <w:spacing w:val="74"/>
          <w:sz w:val="28"/>
          <w:szCs w:val="28"/>
          <w:lang w:val="en-US" w:eastAsia="zh-CN"/>
        </w:rPr>
        <w:t>五</w:t>
      </w:r>
      <w:r>
        <w:rPr>
          <w:rFonts w:hint="default" w:ascii="Times New Roman" w:hAnsi="Times New Roman" w:eastAsia="黑体" w:cs="Times New Roman"/>
          <w:spacing w:val="74"/>
          <w:sz w:val="28"/>
          <w:szCs w:val="28"/>
        </w:rPr>
        <w:t>次会议文</w:t>
      </w:r>
      <w:r>
        <w:rPr>
          <w:rFonts w:hint="default" w:ascii="Times New Roman" w:hAnsi="Times New Roman" w:eastAsia="黑体" w:cs="Times New Roman"/>
          <w:spacing w:val="68"/>
          <w:sz w:val="28"/>
          <w:szCs w:val="28"/>
        </w:rPr>
        <w:t>件</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20"/>
          <w:sz w:val="32"/>
          <w:szCs w:val="32"/>
        </w:rPr>
      </w:pPr>
    </w:p>
    <w:p>
      <w:pPr>
        <w:keepNext w:val="0"/>
        <w:keepLines w:val="0"/>
        <w:pageBreakBefore w:val="0"/>
        <w:widowControl w:val="0"/>
        <w:kinsoku/>
        <w:wordWrap/>
        <w:topLinePunct w:val="0"/>
        <w:autoSpaceDE/>
        <w:autoSpaceDN/>
        <w:bidi w:val="0"/>
        <w:spacing w:line="700" w:lineRule="exact"/>
        <w:jc w:val="center"/>
        <w:rPr>
          <w:rFonts w:hint="default" w:ascii="Times New Roman" w:hAnsi="Times New Roman" w:eastAsia="方正小标宋简体" w:cs="Times New Roman"/>
          <w:color w:val="000000" w:themeColor="text1"/>
          <w:sz w:val="44"/>
          <w:szCs w:val="28"/>
          <w14:textFill>
            <w14:solidFill>
              <w14:schemeClr w14:val="tx1"/>
            </w14:solidFill>
          </w14:textFill>
        </w:rPr>
      </w:pPr>
      <w:r>
        <w:rPr>
          <w:rFonts w:hint="default" w:ascii="Times New Roman" w:hAnsi="Times New Roman" w:eastAsia="方正小标宋简体" w:cs="Times New Roman"/>
          <w:color w:val="000000" w:themeColor="text1"/>
          <w:sz w:val="44"/>
          <w:szCs w:val="28"/>
          <w14:textFill>
            <w14:solidFill>
              <w14:schemeClr w14:val="tx1"/>
            </w14:solidFill>
          </w14:textFill>
        </w:rPr>
        <w:t>关于金湖县2020年国民经济和社会发展计划执行情况与2021年国民经济和社会发展计划（草案）的报告</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楷体_GB2312" w:cs="Times New Roman"/>
          <w:spacing w:val="0"/>
          <w:sz w:val="28"/>
          <w:szCs w:val="28"/>
          <w:lang w:eastAsia="zh-CN"/>
        </w:rPr>
      </w:pPr>
      <w:r>
        <w:rPr>
          <w:rFonts w:hint="default" w:ascii="Times New Roman" w:hAnsi="Times New Roman" w:eastAsia="楷体_GB2312" w:cs="Times New Roman"/>
          <w:spacing w:val="0"/>
          <w:sz w:val="28"/>
          <w:szCs w:val="28"/>
          <w:lang w:eastAsia="zh-CN"/>
        </w:rPr>
        <w:t>——20</w:t>
      </w:r>
      <w:r>
        <w:rPr>
          <w:rFonts w:hint="default" w:ascii="Times New Roman" w:hAnsi="Times New Roman" w:eastAsia="楷体_GB2312" w:cs="Times New Roman"/>
          <w:spacing w:val="0"/>
          <w:sz w:val="28"/>
          <w:szCs w:val="28"/>
          <w:lang w:val="en-US" w:eastAsia="zh-CN"/>
        </w:rPr>
        <w:t>21</w:t>
      </w:r>
      <w:r>
        <w:rPr>
          <w:rFonts w:hint="default" w:ascii="Times New Roman" w:hAnsi="Times New Roman" w:eastAsia="楷体_GB2312" w:cs="Times New Roman"/>
          <w:spacing w:val="0"/>
          <w:sz w:val="28"/>
          <w:szCs w:val="28"/>
          <w:lang w:eastAsia="zh-CN"/>
        </w:rPr>
        <w:t>年1月</w:t>
      </w:r>
      <w:r>
        <w:rPr>
          <w:rFonts w:hint="default" w:ascii="Times New Roman" w:hAnsi="Times New Roman" w:eastAsia="楷体_GB2312" w:cs="Times New Roman"/>
          <w:spacing w:val="0"/>
          <w:sz w:val="28"/>
          <w:szCs w:val="28"/>
          <w:lang w:val="en-US" w:eastAsia="zh-CN"/>
        </w:rPr>
        <w:t>11</w:t>
      </w:r>
      <w:r>
        <w:rPr>
          <w:rFonts w:hint="default" w:ascii="Times New Roman" w:hAnsi="Times New Roman" w:eastAsia="楷体_GB2312" w:cs="Times New Roman"/>
          <w:spacing w:val="0"/>
          <w:sz w:val="28"/>
          <w:szCs w:val="28"/>
          <w:lang w:eastAsia="zh-CN"/>
        </w:rPr>
        <w:t>日在金湖县第十四届人民代表大会第</w:t>
      </w:r>
      <w:r>
        <w:rPr>
          <w:rFonts w:hint="default" w:ascii="Times New Roman" w:hAnsi="Times New Roman" w:eastAsia="楷体_GB2312" w:cs="Times New Roman"/>
          <w:spacing w:val="0"/>
          <w:sz w:val="28"/>
          <w:szCs w:val="28"/>
          <w:lang w:val="en-US" w:eastAsia="zh-CN"/>
        </w:rPr>
        <w:t>五</w:t>
      </w:r>
      <w:r>
        <w:rPr>
          <w:rFonts w:hint="default" w:ascii="Times New Roman" w:hAnsi="Times New Roman" w:eastAsia="楷体_GB2312" w:cs="Times New Roman"/>
          <w:spacing w:val="0"/>
          <w:sz w:val="28"/>
          <w:szCs w:val="28"/>
          <w:lang w:eastAsia="zh-CN"/>
        </w:rPr>
        <w:t>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金湖县发展和改革委员会主任  戚苏华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各位代表：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受县人民政府委托，我向大会报告全县2020年国民经济和社会发展计划执行情况与2021年国民经济和社会发展计划草案，请予审议，并请列席会议的同志提出意见。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一、2020年国民经济和社会发展计划执行情况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是全面建成小康社会和“十三五”规划收官之年，在这个百年未有之大变局的重要时间节点，全县上下坚持以习近平新时代中国特色社会主义思想为指导，围绕全面建成小康社会目标任务，坚持稳中求进工作总基调，坚持新发展理念，统筹推进疫情防控和经济社会发展工作，切实落实“六稳”，精准发力“六保”，巩固经济恢复性增长态势，促进经济运行秩序重回正轨，较好地实现“十三五”预期目标，全面小康综合实现程度达92.8%以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位居全市前列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全县经济社会发展稳定在高质量发展区间。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（一）全力以赴抓好精准防控，大战大考交出满意答卷</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展现疫情防控责任担当。</w:t>
      </w:r>
      <w:r>
        <w:rPr>
          <w:rFonts w:hint="default" w:ascii="Times New Roman" w:hAnsi="Times New Roman" w:eastAsia="仿宋_GB2312" w:cs="Times New Roman"/>
          <w:color w:val="000000" w:themeColor="text1"/>
          <w:sz w:val="32"/>
          <w:szCs w:val="32"/>
          <w14:textFill>
            <w14:solidFill>
              <w14:schemeClr w14:val="tx1"/>
            </w14:solidFill>
          </w14:textFill>
        </w:rPr>
        <w:t>成立疫情防控指挥部并下设1办及8个应急工作小组，配备重点场所以及基层医疗一线医疗人员，组织乡村医护人员参与居家观察对象“四包一”管理服务，有效防止了县外疫情输入和县内疫情反弹。先后选派15名医护人员驰援湖北等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落实疫情防控精准措施。</w:t>
      </w:r>
      <w:r>
        <w:rPr>
          <w:rFonts w:hint="default" w:ascii="Times New Roman" w:hAnsi="Times New Roman" w:eastAsia="仿宋_GB2312" w:cs="Times New Roman"/>
          <w:color w:val="000000" w:themeColor="text1"/>
          <w:sz w:val="32"/>
          <w:szCs w:val="32"/>
          <w14:textFill>
            <w14:solidFill>
              <w14:schemeClr w14:val="tx1"/>
            </w14:solidFill>
          </w14:textFill>
        </w:rPr>
        <w:t>帮助企业转产疫情防控应急物资，突击完成省政府交办19万箱消毒液支援任务，获国务院疫情联防联控工作表扬。爱特福等3家企业被列入国家首批疫情防控物资保供企业，全市仅此3家；神华药业等12家企业被列入省疫情防控物资保供企业，数量居全市之首。加强疫情防控财政资金保障，在疫情防控最吃劲关键阶段，千方百计从国内外组织到位应急物资，有效保障防疫物资供给。保障商超“货架子”、市场“米袋子”、居民“菜篮子”，充分满足人民群众对生活物资的需求。</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保障生产秩序全面恢复。</w:t>
      </w:r>
      <w:r>
        <w:rPr>
          <w:rFonts w:hint="default" w:ascii="Times New Roman" w:hAnsi="Times New Roman" w:eastAsia="仿宋_GB2312" w:cs="Times New Roman"/>
          <w:color w:val="000000" w:themeColor="text1"/>
          <w:sz w:val="32"/>
          <w:szCs w:val="32"/>
          <w14:textFill>
            <w14:solidFill>
              <w14:schemeClr w14:val="tx1"/>
            </w14:solidFill>
          </w14:textFill>
        </w:rPr>
        <w:t>严格落实中央、省、市支持企业的各项优惠政策，出台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支持性价格政策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、抗疫扶企“12条意见”、惠企政策“一本通”等文件。制定“八个必须”“五个到位”“五个坚持”企业复工标准，指导企业有序复工复产。全市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首创</w:t>
      </w:r>
      <w:r>
        <w:rPr>
          <w:rFonts w:hint="default" w:ascii="Times New Roman" w:hAnsi="Times New Roman" w:eastAsia="仿宋_GB2312" w:cs="Times New Roman"/>
          <w:color w:val="000000" w:themeColor="text1"/>
          <w:sz w:val="32"/>
          <w:szCs w:val="32"/>
          <w14:textFill>
            <w14:solidFill>
              <w14:schemeClr w14:val="tx1"/>
            </w14:solidFill>
          </w14:textFill>
        </w:rPr>
        <w:t>企业驻点指导员工作制度，“零距离”指导企业复工复产过程中的疫情防控工作。落实《关于阶段性减征职工基本医疗保险费的实施方案》，为3104家企业减征医保费用2675万元。积极为中小企业纾困解忧，新增5000万元贷款额度，节省融资成本700万元。落实阶段性电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气价扶持政策，降低企业经营成本约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0.33亿元。实现减税降费3.59亿元。</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 稳定经济社会发展大局。</w:t>
      </w:r>
      <w:r>
        <w:rPr>
          <w:rFonts w:hint="default" w:ascii="Times New Roman" w:hAnsi="Times New Roman" w:eastAsia="仿宋_GB2312" w:cs="Times New Roman"/>
          <w:color w:val="000000" w:themeColor="text1"/>
          <w:sz w:val="32"/>
          <w:szCs w:val="32"/>
          <w14:textFill>
            <w14:solidFill>
              <w14:schemeClr w14:val="tx1"/>
            </w14:solidFill>
          </w14:textFill>
        </w:rPr>
        <w:t>2020年，6大类24项37个主要指标预计（下同）完成32个。实现地区生产总值336.5亿元，同比增长3.5%，增幅高于全市1.5个百分点；实现一般公共预算收入、注册外资实际到账23.54亿元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1.3亿美元，同比分别增长4.7%和4%，增幅分别高于全市2.7个百分点和3.8个百分点；新增规上企业10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全市第一</w:t>
      </w:r>
      <w:r>
        <w:rPr>
          <w:rFonts w:hint="default" w:ascii="Times New Roman" w:hAnsi="Times New Roman" w:eastAsia="仿宋_GB2312" w:cs="Times New Roman"/>
          <w:color w:val="000000" w:themeColor="text1"/>
          <w:sz w:val="32"/>
          <w:szCs w:val="32"/>
          <w14:textFill>
            <w14:solidFill>
              <w14:schemeClr w14:val="tx1"/>
            </w14:solidFill>
          </w14:textFill>
        </w:rPr>
        <w:t>。全年城镇登记失业率1.72%，较全市低0.05个百分点；全体居民人均可支配收入32470元，同比增长8.3%，高于全市3.3个百分点。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w:t>
      </w:r>
      <w:r>
        <w:rPr>
          <w:rFonts w:hint="default" w:ascii="Times New Roman" w:hAnsi="Times New Roman" w:eastAsia="楷体_GB2312" w:cs="Times New Roman"/>
          <w:color w:val="000000" w:themeColor="text1"/>
          <w:sz w:val="32"/>
          <w:szCs w:val="32"/>
          <w14:textFill>
            <w14:solidFill>
              <w14:schemeClr w14:val="tx1"/>
            </w14:solidFill>
          </w14:textFill>
        </w:rPr>
        <w:t>千方百计促进转型升级，实体经济保持健康发展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农业经济稳中向好。</w:t>
      </w:r>
      <w:r>
        <w:rPr>
          <w:rFonts w:hint="default" w:ascii="Times New Roman" w:hAnsi="Times New Roman" w:eastAsia="仿宋_GB2312" w:cs="Times New Roman"/>
          <w:color w:val="000000" w:themeColor="text1"/>
          <w:sz w:val="32"/>
          <w:szCs w:val="32"/>
          <w14:textFill>
            <w14:solidFill>
              <w14:schemeClr w14:val="tx1"/>
            </w14:solidFill>
          </w14:textFill>
        </w:rPr>
        <w:t>全年实现农林牧渔业总产值84.3亿元，同比增长2.3%。积极向上争取耕地占补平衡补充耕地指标，完成耕地面积81.01万亩，超省定目标4.93%，全年粮食总产11.4亿斤，增产500万斤。优良食味稻米品种种植面积同比提高11.91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。全县“三新”技术覆盖率达90%以上。新增高效设施农业0.72万亩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渔业0.6万亩。新发展藕虾、稻虾综合种养面积10.5万亩。生猪存栏8.5万头、出栏13.5万头。建成省级绿色防控示范区2个。新发展60个家庭农场，示范家庭农场率达22.84%。土地流转率达86%，农业适度规模经营水平达87%，全市第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培育省级农业龙头企业1个、市级2个。</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工业经济回稳增长。</w:t>
      </w:r>
      <w:r>
        <w:rPr>
          <w:rFonts w:hint="default" w:ascii="Times New Roman" w:hAnsi="Times New Roman" w:eastAsia="仿宋_GB2312" w:cs="Times New Roman"/>
          <w:color w:val="000000" w:themeColor="text1"/>
          <w:sz w:val="32"/>
          <w:szCs w:val="32"/>
          <w14:textFill>
            <w14:solidFill>
              <w14:schemeClr w14:val="tx1"/>
            </w14:solidFill>
          </w14:textFill>
        </w:rPr>
        <w:t>规上工业应税开票销售达255亿元，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增长8%；全部工业入库税收11亿元，同比增长6%。认定市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“小巨人”</w:t>
      </w:r>
      <w:r>
        <w:rPr>
          <w:rFonts w:hint="default" w:ascii="Times New Roman" w:hAnsi="Times New Roman" w:eastAsia="仿宋_GB2312" w:cs="Times New Roman"/>
          <w:color w:val="000000" w:themeColor="text1"/>
          <w:sz w:val="32"/>
          <w:szCs w:val="32"/>
          <w14:textFill>
            <w14:solidFill>
              <w14:schemeClr w14:val="tx1"/>
            </w14:solidFill>
          </w14:textFill>
        </w:rPr>
        <w:t>企业8家、专精特新中小企业13家，占全市比例分别为40%和50%。实施“千企技改”项目66个、市重点技改项目14个。理士电池EB12D-4摩托、NM-450内燃机车用铅酸蓄电池获批国家第五批绿色设计产品。西派集团等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家企业通过两化融合管理体系贯标认证，红光仪表等3家企业获批省级示范智能车间。</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服务业经济扩量提质。</w:t>
      </w:r>
      <w:r>
        <w:rPr>
          <w:rFonts w:hint="default" w:ascii="Times New Roman" w:hAnsi="Times New Roman" w:eastAsia="仿宋_GB2312" w:cs="Times New Roman"/>
          <w:color w:val="000000" w:themeColor="text1"/>
          <w:sz w:val="32"/>
          <w:szCs w:val="32"/>
          <w14:textFill>
            <w14:solidFill>
              <w14:schemeClr w14:val="tx1"/>
            </w14:solidFill>
          </w14:textFill>
        </w:rPr>
        <w:t>全县完成服务业增加值150.23亿元，</w:t>
      </w:r>
      <w:r>
        <w:rPr>
          <w:rFonts w:hint="eastAsia" w:eastAsia="仿宋_GB2312" w:cs="Times New Roman"/>
          <w:color w:val="000000" w:themeColor="text1"/>
          <w:sz w:val="32"/>
          <w:szCs w:val="32"/>
          <w:lang w:val="en-US"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增长3.1%，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位居</w:t>
      </w:r>
      <w:r>
        <w:rPr>
          <w:rFonts w:hint="default" w:ascii="Times New Roman" w:hAnsi="Times New Roman" w:eastAsia="仿宋_GB2312" w:cs="Times New Roman"/>
          <w:color w:val="000000" w:themeColor="text1"/>
          <w:sz w:val="32"/>
          <w:szCs w:val="32"/>
          <w14:textFill>
            <w14:solidFill>
              <w14:schemeClr w14:val="tx1"/>
            </w14:solidFill>
          </w14:textFill>
        </w:rPr>
        <w:t>全市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前列</w:t>
      </w:r>
      <w:r>
        <w:rPr>
          <w:rFonts w:hint="default" w:ascii="Times New Roman" w:hAnsi="Times New Roman" w:eastAsia="仿宋_GB2312" w:cs="Times New Roman"/>
          <w:color w:val="000000" w:themeColor="text1"/>
          <w:sz w:val="32"/>
          <w:szCs w:val="32"/>
          <w14:textFill>
            <w14:solidFill>
              <w14:schemeClr w14:val="tx1"/>
            </w14:solidFill>
          </w14:textFill>
        </w:rPr>
        <w:t>。纳入市服务业特色产业项目21个，完成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14:textFill>
            <w14:solidFill>
              <w14:schemeClr w14:val="tx1"/>
            </w14:solidFill>
          </w14:textFill>
        </w:rPr>
        <w:t>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118.05</w:t>
      </w:r>
      <w:r>
        <w:rPr>
          <w:rFonts w:hint="default" w:ascii="Times New Roman" w:hAnsi="Times New Roman" w:eastAsia="仿宋_GB2312" w:cs="Times New Roman"/>
          <w:color w:val="000000" w:themeColor="text1"/>
          <w:sz w:val="32"/>
          <w:szCs w:val="32"/>
          <w14:textFill>
            <w14:solidFill>
              <w14:schemeClr w14:val="tx1"/>
            </w14:solidFill>
          </w14:textFill>
        </w:rPr>
        <w:t>亿元，完成率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居</w:t>
      </w:r>
      <w:r>
        <w:rPr>
          <w:rFonts w:hint="default" w:ascii="Times New Roman" w:hAnsi="Times New Roman" w:eastAsia="仿宋_GB2312" w:cs="Times New Roman"/>
          <w:color w:val="000000" w:themeColor="text1"/>
          <w:sz w:val="32"/>
          <w:szCs w:val="32"/>
          <w14:textFill>
            <w14:solidFill>
              <w14:schemeClr w14:val="tx1"/>
            </w14:solidFill>
          </w14:textFill>
        </w:rPr>
        <w:t>全市前列。开工建设金湖港口物流仓储中心、城东物流园，村级物流配送站点覆盖率达87%以上。苏宁易购广场填补了大型商业的空白。金湖电子商务产业园集聚区获批省级生产性服务业集聚示范区，获批国家级电子商务进农村综合示范县。领凯网络传媒获批互联网平台经济“百千万”工程重点企业，金石机械通过省两业深度融合试点阶段性绩效评估。阿里巴巴客服中心落户金湖。在全市率先获批国家全域旅游示范区，尧想国文旅区成功创成国家AAA景区，白马湖村和高桥村分别获批全国和省乡村旅游重点村；智慧旅游入选文旅部文化和旅游信息化发展典型案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（三）倾心倾力引育发展动能，内生动力凝聚发展活力</w:t>
      </w:r>
    </w:p>
    <w:p>
      <w:pPr>
        <w:keepNext w:val="0"/>
        <w:keepLines w:val="0"/>
        <w:pageBreakBefore w:val="0"/>
        <w:widowControl w:val="0"/>
        <w:numPr>
          <w:ilvl w:val="255"/>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有效投入增强后劲。</w:t>
      </w:r>
      <w:r>
        <w:rPr>
          <w:rFonts w:hint="default" w:ascii="Times New Roman" w:hAnsi="Times New Roman" w:eastAsia="仿宋_GB2312" w:cs="Times New Roman"/>
          <w:color w:val="000000" w:themeColor="text1"/>
          <w:sz w:val="32"/>
          <w:szCs w:val="32"/>
          <w14:textFill>
            <w14:solidFill>
              <w14:schemeClr w14:val="tx1"/>
            </w14:solidFill>
          </w14:textFill>
        </w:rPr>
        <w:t>2020年度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安排</w:t>
      </w:r>
      <w:r>
        <w:rPr>
          <w:rFonts w:hint="default" w:ascii="Times New Roman" w:hAnsi="Times New Roman" w:eastAsia="仿宋_GB2312" w:cs="Times New Roman"/>
          <w:color w:val="000000" w:themeColor="text1"/>
          <w:sz w:val="32"/>
          <w:szCs w:val="32"/>
          <w14:textFill>
            <w14:solidFill>
              <w14:schemeClr w14:val="tx1"/>
            </w14:solidFill>
          </w14:textFill>
        </w:rPr>
        <w:t>县级政府投资项目45个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总投资36.42亿元</w:t>
      </w:r>
      <w:r>
        <w:rPr>
          <w:rFonts w:hint="default" w:ascii="Times New Roman" w:hAnsi="Times New Roman" w:eastAsia="仿宋_GB2312" w:cs="Times New Roman"/>
          <w:color w:val="000000" w:themeColor="text1"/>
          <w:sz w:val="32"/>
          <w:szCs w:val="32"/>
          <w14:textFill>
            <w14:solidFill>
              <w14:schemeClr w14:val="tx1"/>
            </w14:solidFill>
          </w14:textFill>
        </w:rPr>
        <w:t>。中科航空创意文化基地项目被列入2020年省重大项目投资计划，实现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零突破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。21个项目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被</w:t>
      </w:r>
      <w:r>
        <w:rPr>
          <w:rFonts w:hint="default" w:ascii="Times New Roman" w:hAnsi="Times New Roman" w:eastAsia="仿宋_GB2312" w:cs="Times New Roman"/>
          <w:color w:val="000000" w:themeColor="text1"/>
          <w:sz w:val="32"/>
          <w:szCs w:val="32"/>
          <w14:textFill>
            <w14:solidFill>
              <w14:schemeClr w14:val="tx1"/>
            </w14:solidFill>
          </w14:textFill>
        </w:rPr>
        <w:t>列入市年度投资计划，预计完成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14:textFill>
            <w14:solidFill>
              <w14:schemeClr w14:val="tx1"/>
            </w14:solidFill>
          </w14:textFill>
        </w:rPr>
        <w:t>投资143.96亿元，超额完成市定目标。新招引亿元以上项目63个，其中10亿元以上11个；新开工亿元以上项目64个，其中10亿元以上10个；新竣工亿元以上项目54个，其中10亿元以上3个。向上争取项目近350个，争取无偿补助资金16亿元。争取抗疫特别国债项目3个，获批资金2.14亿元；争取地方政府专项债券项目2个，获批资金3.6亿元。申报企业债券项目1个，7亿元。</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创新引领激发动能。</w:t>
      </w:r>
      <w:r>
        <w:rPr>
          <w:rFonts w:hint="default" w:ascii="Times New Roman" w:hAnsi="Times New Roman" w:eastAsia="仿宋_GB2312" w:cs="Times New Roman"/>
          <w:color w:val="000000" w:themeColor="text1"/>
          <w:sz w:val="32"/>
          <w:szCs w:val="32"/>
          <w14:textFill>
            <w14:solidFill>
              <w14:schemeClr w14:val="tx1"/>
            </w14:solidFill>
          </w14:textFill>
        </w:rPr>
        <w:t>全社会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研发</w:t>
      </w:r>
      <w:r>
        <w:rPr>
          <w:rFonts w:hint="default" w:ascii="Times New Roman" w:hAnsi="Times New Roman" w:eastAsia="仿宋_GB2312" w:cs="Times New Roman"/>
          <w:color w:val="000000" w:themeColor="text1"/>
          <w:sz w:val="32"/>
          <w:szCs w:val="32"/>
          <w14:textFill>
            <w14:solidFill>
              <w14:schemeClr w14:val="tx1"/>
            </w14:solidFill>
          </w14:textFill>
        </w:rPr>
        <w:t>支出占GDP比重为1.9%，同比提高0.02个百分点，高于全市0.39个百分点；万人高价值发明专利拥有量达2件，比全市多1.15件；高新技术产业产值占比29.5%，高于全市2.5个百分点；全县有效高企111家，全市第一。新增省高企培育库入库企业48家，全市第一。阿路美格等4家企业产品获批省级新技术新产品鉴定，斯必得重工等4家企业产品列入省级新技术新产品目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1家企业获批省级工程研究中心，</w:t>
      </w:r>
      <w:r>
        <w:rPr>
          <w:rFonts w:hint="default" w:ascii="Times New Roman" w:hAnsi="Times New Roman" w:eastAsia="仿宋_GB2312" w:cs="Times New Roman"/>
          <w:color w:val="000000" w:themeColor="text1"/>
          <w:sz w:val="32"/>
          <w:szCs w:val="32"/>
          <w14:textFill>
            <w14:solidFill>
              <w14:schemeClr w14:val="tx1"/>
            </w14:solidFill>
          </w14:textFill>
        </w:rPr>
        <w:t>1家企业获批省级工程技术研究中心，9家企业获批市级工程技术研究中心，12家省级企业研发平台实现提档升级，4家省级工程技术研究中心获绩效考评优秀等次，占全市的50%。引进行业专家50名，入选省“双创人才”1名，获批科技副总22人。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w:t>
      </w:r>
      <w:r>
        <w:rPr>
          <w:rFonts w:hint="default" w:ascii="Times New Roman" w:hAnsi="Times New Roman" w:eastAsia="仿宋_GB2312" w:cs="Times New Roman"/>
          <w:color w:val="000000" w:themeColor="text1"/>
          <w:sz w:val="32"/>
          <w:szCs w:val="32"/>
          <w14:textFill>
            <w14:solidFill>
              <w14:schemeClr w14:val="tx1"/>
            </w14:solidFill>
          </w14:textFill>
        </w:rPr>
        <w:t>高技能人才1141人、留学回国人员4人，引进接收高校毕业生等各类人才583人。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kern w:val="0"/>
          <w:sz w:val="32"/>
          <w:szCs w:val="32"/>
          <w14:textFill>
            <w14:solidFill>
              <w14:schemeClr w14:val="tx1"/>
            </w14:solidFill>
          </w14:textFill>
        </w:rPr>
        <w:t>3</w:t>
      </w:r>
      <w:r>
        <w:rPr>
          <w:rFonts w:hint="default" w:ascii="Times New Roman" w:hAnsi="Times New Roman" w:eastAsia="仿宋_GB2312" w:cs="Times New Roman"/>
          <w:b/>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改革释放市场活力。</w:t>
      </w:r>
      <w:r>
        <w:rPr>
          <w:rFonts w:hint="default" w:ascii="Times New Roman" w:hAnsi="Times New Roman" w:eastAsia="仿宋_GB2312" w:cs="Times New Roman"/>
          <w:color w:val="000000" w:themeColor="text1"/>
          <w:sz w:val="32"/>
          <w:szCs w:val="32"/>
          <w14:textFill>
            <w14:solidFill>
              <w14:schemeClr w14:val="tx1"/>
            </w14:solidFill>
          </w14:textFill>
        </w:rPr>
        <w:t>供给侧结构性改革持续发力，通过破产重整、债务重组等方式处置14家“僵尸企业”及去产能企业债务问题，化解隐性债务2.99亿元。贷款平均利率下降50个基点；制造业贷款余额36.13亿，比年初净增4.26亿，占全部贷款的13.12%，占比位居全市第一。建立“三一零”企业开办模式。划分经济网格207个，服务经营市场主体13708户。新增私营企业1260户、个体工商户5740户。社会信用体系建设不断完善，对1108家申请稳岗返还失业金补贴的企业进行信用审查， 15家企业通过信用贯标验收。土地流转风险防范机制建设改革试点、土地经营权等农村产权线上交易加快推进，农村土地承包仲裁体系建设稳妥推进，农村闲置宅基地退出制度基本建立，搭建城乡产业协同发展平台，银涂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成为</w:t>
      </w:r>
      <w:r>
        <w:rPr>
          <w:rFonts w:hint="default" w:ascii="Times New Roman" w:hAnsi="Times New Roman" w:eastAsia="仿宋_GB2312" w:cs="Times New Roman"/>
          <w:color w:val="000000" w:themeColor="text1"/>
          <w:sz w:val="32"/>
          <w:szCs w:val="32"/>
          <w14:textFill>
            <w14:solidFill>
              <w14:schemeClr w14:val="tx1"/>
            </w14:solidFill>
          </w14:textFill>
        </w:rPr>
        <w:t>市集成改革试点镇。启动相对集中行政许可权改革，实现“一枚印章管审批”；完成29个部门系统向“一张网”融合迁移，形成“一网受理、全域通办”；营商环境持续优化，健全规范化</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常态化政企沟通机制，推行党政亲商会制度；开播《营商环境面对面》政企互动节目。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开放合作开辟新空间。</w:t>
      </w:r>
      <w:r>
        <w:rPr>
          <w:rFonts w:hint="default" w:ascii="Times New Roman" w:hAnsi="Times New Roman" w:eastAsia="仿宋_GB2312" w:cs="Times New Roman"/>
          <w:color w:val="000000" w:themeColor="text1"/>
          <w:sz w:val="32"/>
          <w:szCs w:val="32"/>
          <w14:textFill>
            <w14:solidFill>
              <w14:schemeClr w14:val="tx1"/>
            </w14:solidFill>
          </w14:textFill>
        </w:rPr>
        <w:t>新批和增资外资项目11个，其中3000万美元以上项目3个。预计完成外贸进出口总额4.8亿美元。全县有进出口实绩企业约124家，新增博远金属等外贸载体近20家，金石集团自主品牌“JMP”石油钻采设备首次敲开欧佩克成员国大门，打入非洲终端市场。</w:t>
      </w:r>
    </w:p>
    <w:p>
      <w:pPr>
        <w:pStyle w:val="11"/>
        <w:keepNext w:val="0"/>
        <w:keepLines w:val="0"/>
        <w:pageBreakBefore w:val="0"/>
        <w:widowControl w:val="0"/>
        <w:numPr>
          <w:ilvl w:val="255"/>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（四）坚持不懈夯实民生之基，人民福祉跃上新高度</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就业优先政策有效落实。</w:t>
      </w:r>
      <w:r>
        <w:rPr>
          <w:rFonts w:hint="default" w:ascii="Times New Roman" w:hAnsi="Times New Roman" w:eastAsia="仿宋_GB2312" w:cs="Times New Roman"/>
          <w:color w:val="000000" w:themeColor="text1"/>
          <w:sz w:val="32"/>
          <w:szCs w:val="32"/>
          <w14:textFill>
            <w14:solidFill>
              <w14:schemeClr w14:val="tx1"/>
            </w14:solidFill>
          </w14:textFill>
        </w:rPr>
        <w:t>强化“免、减、缓、返、补”各项就业优先政策，向942家企业发放普惠制稳岗返还440万元，惠及职工19578人，向196家企业发放应急稳岗返还602万元，惠及职工1498人；减征、免征2327家企业养老、失业、工伤三项保险单位社保费1.65亿元。</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"http://www.baidu.com/link?url=w-eHMptI6vQSlmxKzNN1OmDCfKBkj8Njmrvnlbzd5UxAh6sX80fxYBSYRecL3mgVD8oNh_r7E1m0z7nkHWWip1BikW4-8Ekm6ihMnQdab17" \t "https://www.baidu.com/_blank"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开拓多渠道灵活就业</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14:textFill>
            <w14:solidFill>
              <w14:schemeClr w14:val="tx1"/>
            </w14:solidFill>
          </w14:textFill>
        </w:rPr>
        <w:t>，帮助3523名城乡劳动者和677家企业达成用工意向，运用点对点包车等方式帮助企业招聘县外员工2258名。新增城镇就业4050人、城镇失业人员再就业3000人、转移农村劳动力810人。支持返乡下乡创业336人，发放富民创业担保贷款7137万元，带动城乡就业4920人，创成1个省级创业孵化基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民生保障水平持续提升。</w:t>
      </w:r>
      <w:r>
        <w:rPr>
          <w:rFonts w:hint="default" w:ascii="Times New Roman" w:hAnsi="Times New Roman" w:eastAsia="仿宋_GB2312" w:cs="Times New Roman"/>
          <w:color w:val="000000" w:themeColor="text1"/>
          <w:sz w:val="32"/>
          <w:szCs w:val="32"/>
          <w14:textFill>
            <w14:solidFill>
              <w14:schemeClr w14:val="tx1"/>
            </w14:solidFill>
          </w14:textFill>
        </w:rPr>
        <w:t>省教育现代化监测得分为93.66分，全市第一；金湖中学连续四年获全市高考质量特等奖；初中总均分、优秀率、巩固率、合格率排名全市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各县区</w:t>
      </w:r>
      <w:r>
        <w:rPr>
          <w:rFonts w:hint="default" w:ascii="Times New Roman" w:hAnsi="Times New Roman" w:eastAsia="仿宋_GB2312" w:cs="Times New Roman"/>
          <w:color w:val="000000" w:themeColor="text1"/>
          <w:sz w:val="32"/>
          <w:szCs w:val="32"/>
          <w14:textFill>
            <w14:solidFill>
              <w14:schemeClr w14:val="tx1"/>
            </w14:solidFill>
          </w14:textFill>
        </w:rPr>
        <w:t>前列；县外国语学校连续三年获市表彰。异地新建黎城卫生院，县人医实训楼、发热门诊楼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进度加快，改造26个薄弱村卫生室，设立卫生应急物资储备库，储备价值40万元传染病防控物资。新增各类参保1.63万人次，社会保险综合覆盖率达98.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%，各项社会保险待遇按时足额发放率和社会化发放率均达100%。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 文化事业持续繁荣。</w:t>
      </w:r>
      <w:r>
        <w:rPr>
          <w:rFonts w:hint="default" w:ascii="Times New Roman" w:hAnsi="Times New Roman" w:eastAsia="仿宋_GB2312" w:cs="Times New Roman"/>
          <w:color w:val="000000" w:themeColor="text1"/>
          <w:sz w:val="32"/>
          <w:szCs w:val="32"/>
          <w14:textFill>
            <w14:solidFill>
              <w14:schemeClr w14:val="tx1"/>
            </w14:solidFill>
          </w14:textFill>
        </w:rPr>
        <w:t>县科技馆、荷花荡景区荷文化体验馆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获批</w:t>
      </w:r>
      <w:r>
        <w:rPr>
          <w:rFonts w:hint="default" w:ascii="Times New Roman" w:hAnsi="Times New Roman" w:eastAsia="仿宋_GB2312" w:cs="Times New Roman"/>
          <w:color w:val="000000" w:themeColor="text1"/>
          <w:sz w:val="32"/>
          <w:szCs w:val="32"/>
          <w14:textFill>
            <w14:solidFill>
              <w14:schemeClr w14:val="tx1"/>
            </w14:solidFill>
          </w14:textFill>
        </w:rPr>
        <w:t>省级科普教育基地。全县共创作抗疫主题原创歌曲2首，曲艺作品3件，诗词作品203篇，美术、书法、剪纸作品68件，摄影作品28件，宅家健身操短视频30个，网红图片3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张</w:t>
      </w:r>
      <w:r>
        <w:rPr>
          <w:rFonts w:hint="default" w:ascii="Times New Roman" w:hAnsi="Times New Roman" w:eastAsia="仿宋_GB2312" w:cs="Times New Roman"/>
          <w:color w:val="000000" w:themeColor="text1"/>
          <w:sz w:val="32"/>
          <w:szCs w:val="32"/>
          <w14:textFill>
            <w14:solidFill>
              <w14:schemeClr w14:val="tx1"/>
            </w14:solidFill>
          </w14:textFill>
        </w:rPr>
        <w:t>，H5作品2条。歌曲《我在春天等你》登上全国“学习强国”平台，《送战友》在全国四大音乐网络平台上线。</w:t>
      </w:r>
    </w:p>
    <w:p>
      <w:pPr>
        <w:pStyle w:val="11"/>
        <w:keepNext w:val="0"/>
        <w:keepLines w:val="0"/>
        <w:pageBreakBefore w:val="0"/>
        <w:widowControl w:val="0"/>
        <w:numPr>
          <w:ilvl w:val="255"/>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（五）聚焦聚力提升功能品质，内涵发展彰显城市魅力</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 城市形象大幅提升。</w:t>
      </w:r>
      <w:r>
        <w:rPr>
          <w:rFonts w:hint="default" w:ascii="Times New Roman" w:hAnsi="Times New Roman" w:eastAsia="仿宋_GB2312" w:cs="Times New Roman"/>
          <w:color w:val="000000" w:themeColor="text1"/>
          <w:sz w:val="32"/>
          <w:szCs w:val="32"/>
          <w14:textFill>
            <w14:solidFill>
              <w14:schemeClr w14:val="tx1"/>
            </w14:solidFill>
          </w14:textFill>
        </w:rPr>
        <w:t>城东新区基础设施加快建设，宜居品位提升。完成县委党校异地新建，建成文化艺术中心、苏宁易购广场、金融大厦和供水大厦。老城形象不断改善，新建新港路景观绿化、黎龙河风光带A节点绿化工程，新增绿地面积78.15公顷，绿地率达到39.99%。实施“引水润城”工程，整治主城区黑水体，治理新建河，城市污水集中处理率达89.9%。垃圾分类集中处理率达80.5%。棚户区改造新开工1472套，超额完成年度目标任务，城镇棚户区改造覆盖率达90%；完成6个老旧小区改造。实行城市网格化管理，城市长效管理工作预计全市第一。常住人口城镇化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达</w:t>
      </w:r>
      <w:r>
        <w:rPr>
          <w:rFonts w:hint="default" w:ascii="Times New Roman" w:hAnsi="Times New Roman" w:eastAsia="仿宋_GB2312" w:cs="Times New Roman"/>
          <w:color w:val="000000" w:themeColor="text1"/>
          <w:sz w:val="32"/>
          <w:szCs w:val="32"/>
          <w14:textFill>
            <w14:solidFill>
              <w14:schemeClr w14:val="tx1"/>
            </w14:solidFill>
          </w14:textFill>
        </w:rPr>
        <w:t>60.3%，同比提升3.4个百分点。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2. 镇村建设持续做美。</w:t>
      </w:r>
      <w:r>
        <w:rPr>
          <w:rFonts w:hint="default" w:ascii="Times New Roman" w:hAnsi="Times New Roman" w:eastAsia="仿宋_GB2312" w:cs="Times New Roman"/>
          <w:color w:val="000000" w:themeColor="text1"/>
          <w:sz w:val="32"/>
          <w:szCs w:val="32"/>
          <w14:textFill>
            <w14:solidFill>
              <w14:schemeClr w14:val="tx1"/>
            </w14:solidFill>
          </w14:textFill>
        </w:rPr>
        <w:t>农房改善成果受到国家住建部、省市领导高度赞誉。在全市率先开展农村垃圾全域分类试点，农村厕所工程系统性推进；污水处理设施行政村覆盖率66.4%，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位居</w:t>
      </w:r>
      <w:r>
        <w:rPr>
          <w:rFonts w:hint="default" w:ascii="Times New Roman" w:hAnsi="Times New Roman" w:eastAsia="仿宋_GB2312" w:cs="Times New Roman"/>
          <w:color w:val="000000" w:themeColor="text1"/>
          <w:sz w:val="32"/>
          <w:szCs w:val="32"/>
          <w14:textFill>
            <w14:solidFill>
              <w14:schemeClr w14:val="tx1"/>
            </w14:solidFill>
          </w14:textFill>
        </w:rPr>
        <w:t>全市前列；农业面源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污染</w:t>
      </w:r>
      <w:r>
        <w:rPr>
          <w:rFonts w:hint="default" w:ascii="Times New Roman" w:hAnsi="Times New Roman" w:eastAsia="仿宋_GB2312" w:cs="Times New Roman"/>
          <w:color w:val="000000" w:themeColor="text1"/>
          <w:sz w:val="32"/>
          <w:szCs w:val="32"/>
          <w14:textFill>
            <w14:solidFill>
              <w14:schemeClr w14:val="tx1"/>
            </w14:solidFill>
          </w14:textFill>
        </w:rPr>
        <w:t>治理不断深化，治理黑臭水体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条；行政村居全部达到“干净整洁有序”标准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四级路覆盖率100%。镇村布局规划优化完善率和村庄规划管理覆盖率达100%，新增省级绿美村庄3个，改造提升保留村庄6个，完成非物质文化遗产保护传承5个。创成1个省级田园示范村、4个市级田园示范村。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3. 基础设施日臻完善。</w:t>
      </w:r>
      <w:r>
        <w:rPr>
          <w:rFonts w:hint="default" w:ascii="Times New Roman" w:hAnsi="Times New Roman" w:eastAsia="仿宋_GB2312" w:cs="Times New Roman"/>
          <w:color w:val="000000" w:themeColor="text1"/>
          <w:sz w:val="32"/>
          <w:szCs w:val="32"/>
          <w14:textFill>
            <w14:solidFill>
              <w14:schemeClr w14:val="tx1"/>
            </w14:solidFill>
          </w14:textFill>
        </w:rPr>
        <w:t>通用机场即将建成；宁淮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城际</w:t>
      </w:r>
      <w:r>
        <w:rPr>
          <w:rFonts w:hint="default" w:ascii="Times New Roman" w:hAnsi="Times New Roman" w:eastAsia="仿宋_GB2312" w:cs="Times New Roman"/>
          <w:color w:val="000000" w:themeColor="text1"/>
          <w:sz w:val="32"/>
          <w:szCs w:val="32"/>
          <w14:textFill>
            <w14:solidFill>
              <w14:schemeClr w14:val="tx1"/>
            </w14:solidFill>
          </w14:textFill>
        </w:rPr>
        <w:t>金湖段有序推进，对接开通高邮北站公交；金宝航道石港船闸改造工程、金湖港物流园码头工程加快推进；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基本完成420省道金湖段</w:t>
      </w:r>
      <w:r>
        <w:rPr>
          <w:rFonts w:hint="default" w:ascii="Times New Roman" w:hAnsi="Times New Roman" w:eastAsia="仿宋_GB2312" w:cs="Times New Roman"/>
          <w:color w:val="000000" w:themeColor="text1"/>
          <w:sz w:val="32"/>
          <w:szCs w:val="32"/>
          <w14:textFill>
            <w14:solidFill>
              <w14:schemeClr w14:val="tx1"/>
            </w14:solidFill>
          </w14:textFill>
        </w:rPr>
        <w:t>。打造城东片区路网循环体系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开工建设风情水街等3个项目。完成新港路、清河路（园林路-衡阳路段）道路工程和4条道路黑色化改造。全域公交北站服务区建成使用，城南公交服务中心开工建设。建成并投入使用5G基站155个。</w:t>
      </w:r>
    </w:p>
    <w:p>
      <w:pPr>
        <w:pStyle w:val="11"/>
        <w:keepNext w:val="0"/>
        <w:keepLines w:val="0"/>
        <w:pageBreakBefore w:val="0"/>
        <w:widowControl w:val="0"/>
        <w:numPr>
          <w:ilvl w:val="255"/>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（六）坚定</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不移决胜全面小康，</w:t>
      </w:r>
      <w:r>
        <w:rPr>
          <w:rFonts w:hint="default" w:ascii="Times New Roman" w:hAnsi="Times New Roman" w:eastAsia="楷体_GB2312" w:cs="Times New Roman"/>
          <w:color w:val="000000" w:themeColor="text1"/>
          <w:sz w:val="32"/>
          <w:szCs w:val="32"/>
          <w14:textFill>
            <w14:solidFill>
              <w14:schemeClr w14:val="tx1"/>
            </w14:solidFill>
          </w14:textFill>
        </w:rPr>
        <w:t>三大攻坚战取得实效</w:t>
      </w:r>
    </w:p>
    <w:p>
      <w:pPr>
        <w:keepNext w:val="0"/>
        <w:keepLines w:val="0"/>
        <w:pageBreakBefore w:val="0"/>
        <w:widowControl w:val="0"/>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脱贫攻坚不断巩固。</w:t>
      </w:r>
      <w:r>
        <w:rPr>
          <w:rFonts w:hint="default" w:ascii="Times New Roman" w:hAnsi="Times New Roman" w:eastAsia="仿宋_GB2312" w:cs="Times New Roman"/>
          <w:color w:val="000000" w:themeColor="text1"/>
          <w:sz w:val="32"/>
          <w:szCs w:val="32"/>
          <w14:textFill>
            <w14:solidFill>
              <w14:schemeClr w14:val="tx1"/>
            </w14:solidFill>
          </w14:textFill>
        </w:rPr>
        <w:t>新纳入城乡低保16人、临时救助57人、特困供养17人。资助困难学生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8750</w:t>
      </w:r>
      <w:r>
        <w:rPr>
          <w:rFonts w:hint="default" w:ascii="Times New Roman" w:hAnsi="Times New Roman" w:eastAsia="仿宋_GB2312" w:cs="Times New Roman"/>
          <w:color w:val="000000" w:themeColor="text1"/>
          <w:sz w:val="32"/>
          <w:szCs w:val="32"/>
          <w14:textFill>
            <w14:solidFill>
              <w14:schemeClr w14:val="tx1"/>
            </w14:solidFill>
          </w14:textFill>
        </w:rPr>
        <w:t>人次，发放助学、生活补助263.</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万元。托底救助228户，发放救助金405万元。拆除或改造到位548户存量危房。开发公益性岗位15个。举办精准扶贫专场招聘会2场，提供就业岗位近400个。建立就业扶贫车间1个，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帮助</w:t>
      </w:r>
      <w:r>
        <w:rPr>
          <w:rFonts w:hint="default" w:ascii="Times New Roman" w:hAnsi="Times New Roman" w:eastAsia="仿宋_GB2312" w:cs="Times New Roman"/>
          <w:color w:val="000000" w:themeColor="text1"/>
          <w:sz w:val="32"/>
          <w:szCs w:val="32"/>
          <w14:textFill>
            <w14:solidFill>
              <w14:schemeClr w14:val="tx1"/>
            </w14:solidFill>
          </w14:textFill>
        </w:rPr>
        <w:t>10名建档立卡户进入车间就业。409名贫困劳动力实现就近就业。全县6844个建档立卡户、15148名贫困人口、8个经济薄弱村全部脱贫摘帽。</w:t>
      </w:r>
    </w:p>
    <w:p>
      <w:pPr>
        <w:keepNext w:val="0"/>
        <w:keepLines w:val="0"/>
        <w:pageBreakBefore w:val="0"/>
        <w:widowControl w:val="0"/>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污染防治严抓细管。</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预计</w:t>
      </w:r>
      <w:r>
        <w:rPr>
          <w:rFonts w:hint="default" w:ascii="Times New Roman" w:hAnsi="Times New Roman" w:eastAsia="仿宋_GB2312" w:cs="Times New Roman"/>
          <w:b w:val="0"/>
          <w:color w:val="000000" w:themeColor="text1"/>
          <w:sz w:val="32"/>
          <w:szCs w:val="32"/>
          <w14:textFill>
            <w14:solidFill>
              <w14:schemeClr w14:val="tx1"/>
            </w14:solidFill>
          </w14:textFill>
        </w:rPr>
        <w:t>单位地区生产总值能耗</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下降4.0%。</w:t>
      </w:r>
      <w:r>
        <w:rPr>
          <w:rFonts w:hint="default" w:ascii="Times New Roman" w:hAnsi="Times New Roman" w:eastAsia="仿宋_GB2312" w:cs="Times New Roman"/>
          <w:color w:val="000000" w:themeColor="text1"/>
          <w:sz w:val="32"/>
          <w:szCs w:val="32"/>
          <w14:textFill>
            <w14:solidFill>
              <w14:schemeClr w14:val="tx1"/>
            </w14:solidFill>
          </w14:textFill>
        </w:rPr>
        <w:t>全市率先完成36个大气治理项目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PM2.5浓度达3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.0微克/立方米，优良天数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307天</w:t>
      </w:r>
      <w:r>
        <w:rPr>
          <w:rFonts w:hint="default" w:ascii="Times New Roman" w:hAnsi="Times New Roman" w:eastAsia="仿宋_GB2312" w:cs="Times New Roman"/>
          <w:color w:val="000000" w:themeColor="text1"/>
          <w:sz w:val="32"/>
          <w:szCs w:val="32"/>
          <w14:textFill>
            <w14:solidFill>
              <w14:schemeClr w14:val="tx1"/>
            </w14:solidFill>
          </w14:textFill>
        </w:rPr>
        <w:t>，均列全市第一。推动实施水污染减排和水污染治理项目各6个，地表水国控省控断面优于Ⅲ类水质比例100%，全市第一。完成6家重点行业企业土壤污染状况采样调查，规范化转移处置危险废物9000多吨。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金融运行风险可控。</w:t>
      </w:r>
      <w:r>
        <w:rPr>
          <w:rFonts w:hint="default" w:ascii="Times New Roman" w:hAnsi="Times New Roman" w:eastAsia="仿宋_GB2312" w:cs="Times New Roman"/>
          <w:color w:val="000000" w:themeColor="text1"/>
          <w:sz w:val="32"/>
          <w:szCs w:val="32"/>
          <w14:textFill>
            <w14:solidFill>
              <w14:schemeClr w14:val="tx1"/>
            </w14:solidFill>
          </w14:textFill>
        </w:rPr>
        <w:t>认真执行相关文件，稳步推进隐性债务化解和置换。规范行政事业单位银行账户管理，严格落实直达资金管理规定，加入再担保及风险分担机制，增加抗风险能力。银行业不良贷款率下降0.36个百分点。</w:t>
      </w:r>
    </w:p>
    <w:p>
      <w:pPr>
        <w:pStyle w:val="11"/>
        <w:keepNext w:val="0"/>
        <w:keepLines w:val="0"/>
        <w:pageBreakBefore w:val="0"/>
        <w:widowControl w:val="0"/>
        <w:numPr>
          <w:ilvl w:val="255"/>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（七）持之以恒推进综合治理，社会环境更加美好安定</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治理创新成果丰硕。</w:t>
      </w:r>
      <w:r>
        <w:rPr>
          <w:rFonts w:hint="default" w:ascii="Times New Roman" w:hAnsi="Times New Roman" w:eastAsia="仿宋_GB2312" w:cs="Times New Roman"/>
          <w:color w:val="000000" w:themeColor="text1"/>
          <w:sz w:val="32"/>
          <w:szCs w:val="32"/>
          <w14:textFill>
            <w14:solidFill>
              <w14:schemeClr w14:val="tx1"/>
            </w14:solidFill>
          </w14:textFill>
        </w:rPr>
        <w:t>创新提出农民集中居住治理、交通治理、湖区治理的“三大”金湖特色治理。培育建成县域社会治理示范点19个。网格治理成绩亮丽，新划增26个城市网格，6个专属网格，网格总数436个，城市社区、农村网格专职网格员配备率分别达100%和50%；城区建设44个多功能网格工作站，推动“党建+网格”“警格+网格”等“四色网格”创建落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社会大局和谐稳定。</w:t>
      </w:r>
      <w:r>
        <w:rPr>
          <w:rFonts w:hint="default" w:ascii="Times New Roman" w:hAnsi="Times New Roman" w:eastAsia="仿宋_GB2312" w:cs="Times New Roman"/>
          <w:color w:val="000000" w:themeColor="text1"/>
          <w:sz w:val="32"/>
          <w:szCs w:val="32"/>
          <w14:textFill>
            <w14:solidFill>
              <w14:schemeClr w14:val="tx1"/>
            </w14:solidFill>
          </w14:textFill>
        </w:rPr>
        <w:t>成立涉稳情报中心，成功化解长期困扰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我县</w:t>
      </w:r>
      <w:r>
        <w:rPr>
          <w:rFonts w:hint="default" w:ascii="Times New Roman" w:hAnsi="Times New Roman" w:eastAsia="仿宋_GB2312" w:cs="Times New Roman"/>
          <w:color w:val="000000" w:themeColor="text1"/>
          <w:sz w:val="32"/>
          <w:szCs w:val="32"/>
          <w14:textFill>
            <w14:solidFill>
              <w14:schemeClr w14:val="tx1"/>
            </w14:solidFill>
          </w14:textFill>
        </w:rPr>
        <w:t>的涉军群体群访集访问题，有效遏制“民代幼”群体频繁集访势头。47条突出风险隐患实现全部“销号清零”。破获涉黑恶案件75起，审结涉黑恶案件4件，查扣涉黑恶财产1.1亿元。“疫情常态防控下的涉黑恶案件开庭审理”的经验被最高法、省扫黑办宣传推介。推进升级版技防城建设，推动智慧安防小区、水路交通指挥中心、“两校一园”系统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安全体系保障有力。</w:t>
      </w:r>
      <w:r>
        <w:rPr>
          <w:rFonts w:hint="default" w:ascii="Times New Roman" w:hAnsi="Times New Roman" w:eastAsia="仿宋_GB2312" w:cs="Times New Roman"/>
          <w:bCs/>
          <w:color w:val="000000" w:themeColor="text1"/>
          <w:sz w:val="32"/>
          <w:szCs w:val="32"/>
          <w14:textFill>
            <w14:solidFill>
              <w14:schemeClr w14:val="tx1"/>
            </w14:solidFill>
          </w14:textFill>
        </w:rPr>
        <w:t>深入开展安全生产专项整治，</w:t>
      </w:r>
      <w:r>
        <w:rPr>
          <w:rFonts w:hint="default" w:ascii="Times New Roman" w:hAnsi="Times New Roman" w:eastAsia="仿宋_GB2312" w:cs="Times New Roman"/>
          <w:color w:val="000000" w:themeColor="text1"/>
          <w:sz w:val="32"/>
          <w:szCs w:val="32"/>
          <w14:textFill>
            <w14:solidFill>
              <w14:schemeClr w14:val="tx1"/>
            </w14:solidFill>
          </w14:textFill>
        </w:rPr>
        <w:t>全县16个行业主管部门完成27个专项整治工作，共检查企业13074家次，检查出一般隐患22976条、已整治20114条，重大隐患29条、已整治17条。</w:t>
      </w:r>
      <w:r>
        <w:rPr>
          <w:rStyle w:val="17"/>
          <w:rFonts w:hint="default" w:ascii="Times New Roman" w:hAnsi="Times New Roman" w:eastAsia="仿宋_GB2312" w:cs="Times New Roman"/>
          <w:b w:val="0"/>
          <w:bCs w:val="0"/>
          <w:color w:val="000000" w:themeColor="text1"/>
          <w:sz w:val="32"/>
          <w:szCs w:val="32"/>
          <w14:textFill>
            <w14:solidFill>
              <w14:schemeClr w14:val="tx1"/>
            </w14:solidFill>
          </w14:textFill>
        </w:rPr>
        <w:t>加强安全隐患排查治理，</w:t>
      </w:r>
      <w:r>
        <w:rPr>
          <w:rFonts w:hint="default" w:ascii="Times New Roman" w:hAnsi="Times New Roman" w:eastAsia="仿宋_GB2312" w:cs="Times New Roman"/>
          <w:color w:val="000000" w:themeColor="text1"/>
          <w:sz w:val="32"/>
          <w:szCs w:val="32"/>
          <w14:textFill>
            <w14:solidFill>
              <w14:schemeClr w14:val="tx1"/>
            </w14:solidFill>
          </w14:textFill>
        </w:rPr>
        <w:t>检查各类企业176家，检查隐患618条。对全县12家化工（危化品）、医药企业开展专项检查，发现问题145条，规定时间内完成整改。对全县93户烟花爆竹经营部逐一发证核查</w:t>
      </w:r>
      <w:r>
        <w:rPr>
          <w:rStyle w:val="17"/>
          <w:rFonts w:hint="default" w:ascii="Times New Roman" w:hAnsi="Times New Roman" w:eastAsia="仿宋_GB2312" w:cs="Times New Roman"/>
          <w:b w:val="0"/>
          <w:bCs w:val="0"/>
          <w:color w:val="000000" w:themeColor="text1"/>
          <w:sz w:val="32"/>
          <w:szCs w:val="32"/>
          <w14:textFill>
            <w14:solidFill>
              <w14:schemeClr w14:val="tx1"/>
            </w14:solidFill>
          </w14:textFill>
        </w:rPr>
        <w:t>监管</w:t>
      </w:r>
      <w:r>
        <w:rPr>
          <w:rFonts w:hint="default" w:ascii="Times New Roman" w:hAnsi="Times New Roman" w:eastAsia="仿宋_GB2312" w:cs="Times New Roman"/>
          <w:color w:val="000000" w:themeColor="text1"/>
          <w:sz w:val="32"/>
          <w:szCs w:val="32"/>
          <w14:textFill>
            <w14:solidFill>
              <w14:schemeClr w14:val="tx1"/>
            </w14:solidFill>
          </w14:textFill>
        </w:rPr>
        <w:t>。生产安全事故起数、死亡人数同比分别下降82.4%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90.5%。开展食品安全专项检查、抽检检测，实现食品安全零事故、零投诉。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二、2021年国民经济和社会发展主要目标计划初步安排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是全面建成小康社会、实现第一个百年奋斗目标之后，趁势而上开启全面建设社会主义现代化新征程，向第二个百年奋斗目标进军的开局之年。当下，国际政治经济形势出现深刻变革和复杂调整，国内经济继续坚持“稳中求进”工作总基调，结合我县现阶段发展水平能力，按照“固根基、扬优势、补短板、强弱项”的思路，聚焦“生态创新、魅力湖城”的目标，对标高质量发展的要求，全县国民经济和社会发展主要指标初步安排按“六个高质量”发展，分为经济发展类、改革开放类、城乡建设类、文化建设类、生态环境类、人民生活类等六大类，共计24项37个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（一）经济建设类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—地区生产总值(GDP)增长7.1%左右，其中规模以上工业增加值同口径增长7.6%左右。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—一般公共预算收入增长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—社会消费品零售总额增长7.6%左右。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—规模以上固定资产投资增长7.5%左右，其中规模以上工业投资增长7.6%左右，高技术产业投资占比12.5%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左右</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—研发支出占GDP比重达2.1%。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—万人高价值发明专利拥有量达2.5件。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—有效高新技术企业累计数达112家。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—高新技术产业产值占比达30.5%。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—新增规上企业单位数达72家。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（二）改革开放类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—外贸进出口总额增长2%。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—注册外资实际到账实现正增长，其中制造业外资到账实现正增长，制造业占注册外资实际到账比例达40.0%。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（三）城乡建设类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—棚户区改造新开工数量完成市定目标。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（四）文化建设类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25828495"/>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社会文明程度测评指数持续提升。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—文化产业增加值占GDP比重达2.5%。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（五）生态环保类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—万元地区生产总值能耗、化学需氧量排放量、二氧化硫排放量、氨氮排放量、氮氧化物排放量等5个指标均完成市定目标。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—空气质量。下设空气质量达到二级标准的天数比例和PM2.5年均浓度2个子项指标，均完成市定目标。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—地表水国控省控断面优于Ⅲ类水质比例完成市定目标。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 w:name="_Hlk25828187"/>
      <w:r>
        <w:rPr>
          <w:rFonts w:hint="default" w:ascii="Times New Roman" w:hAnsi="Times New Roman" w:eastAsia="仿宋_GB2312" w:cs="Times New Roman"/>
          <w:color w:val="000000" w:themeColor="text1"/>
          <w:sz w:val="32"/>
          <w:szCs w:val="32"/>
          <w14:textFill>
            <w14:solidFill>
              <w14:schemeClr w14:val="tx1"/>
            </w14:solidFill>
          </w14:textFill>
        </w:rPr>
        <w:t>—</w:t>
      </w:r>
      <w:bookmarkEnd w:id="1"/>
      <w:r>
        <w:rPr>
          <w:rFonts w:hint="default" w:ascii="Times New Roman" w:hAnsi="Times New Roman" w:eastAsia="仿宋_GB2312" w:cs="Times New Roman"/>
          <w:color w:val="000000" w:themeColor="text1"/>
          <w:sz w:val="32"/>
          <w:szCs w:val="32"/>
          <w14:textFill>
            <w14:solidFill>
              <w14:schemeClr w14:val="tx1"/>
            </w14:solidFill>
          </w14:textFill>
        </w:rPr>
        <w:t>城镇污水集中处理率。下设城市污水集中处理率和建制镇污水集中处理率，分别达到90.0%、75.0%。</w:t>
      </w:r>
      <w:bookmarkStart w:id="2" w:name="_Hlk25828392"/>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bookmarkEnd w:id="2"/>
      <w:r>
        <w:rPr>
          <w:rFonts w:hint="default" w:ascii="Times New Roman" w:hAnsi="Times New Roman" w:eastAsia="仿宋_GB2312" w:cs="Times New Roman"/>
          <w:color w:val="000000" w:themeColor="text1"/>
          <w:sz w:val="32"/>
          <w:szCs w:val="32"/>
          <w14:textFill>
            <w14:solidFill>
              <w14:schemeClr w14:val="tx1"/>
            </w14:solidFill>
          </w14:textFill>
        </w:rPr>
        <w:t>垃圾分类集中处理率达到82.5%。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（六）人民生活类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—居民人均可支配收入。下设全体居民人均可支配收入、城镇居民人均可支配收入和农村居民人均可支配收入，分别增长7.6%左右、7.4%左右、7.9%左右。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—城镇新增就业人数达到3600人；城镇登记失业率控制在4.0%以内。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—常住人口城镇化率达到60.6%。</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—安全生产事故起数和死亡人数下降率持续下降。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上述目标中，地区生产总值增长率等目标是预期性、导向性的；高质量发展指标是刚性的，节能减排目标是约束性的。在目标安排上，主要遵循以下几项原则：一是加强统筹协调。加强经济社会发展主要指标体系与市、县“十四五”规划、全市经济社会发展主要指标年度计划、县各有关部门年度计划目标任务安排的衔接，把经济社会发展的基础筑牢夯实。二是强化质量引领。以省对县高质量发展绩效评价指标、市对县高质量跨越发展考核指标为导向，进一步补短板、强弱项。将相关指标中质效特征鲜明、稳定性较强并可定期获得数据的部分指标纳入我县主要指标体系，积极推动我县高质量发展相关考核工作落实。三是深入分析研判。以当前经济社会发展阶段性特征和国内外宏观经济环境为前提，针对恢复性增长阶段的具体情况，考虑我县经济社会发展客观环境分析各指标支撑、制约因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三、完成2021年国民经济和社会发展计划的主要措施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实现上述目标，需以习近平新时代中国特色社会主义思想为指导，全面贯彻党的十九大和十九届二中、三中、四中、五中全会精神，</w:t>
      </w:r>
      <w:r>
        <w:rPr>
          <w:rFonts w:hint="default" w:ascii="Times New Roman" w:hAnsi="Times New Roman" w:eastAsia="仿宋_GB2312" w:cs="Times New Roman"/>
          <w:color w:val="000000" w:themeColor="text1"/>
          <w:kern w:val="2"/>
          <w:sz w:val="32"/>
          <w:szCs w:val="32"/>
          <w14:textFill>
            <w14:solidFill>
              <w14:schemeClr w14:val="tx1"/>
            </w14:solidFill>
          </w14:textFill>
        </w:rPr>
        <w:t>认真落实习近平总书记对江苏工作重要讲话指示精神，牢记习近平总书记对江苏“争当表率、争做示范、走在前列”的总体要求，</w:t>
      </w:r>
      <w:r>
        <w:rPr>
          <w:rFonts w:hint="default" w:ascii="Times New Roman" w:hAnsi="Times New Roman" w:eastAsia="仿宋_GB2312" w:cs="Times New Roman"/>
          <w:color w:val="000000" w:themeColor="text1"/>
          <w:sz w:val="32"/>
          <w:szCs w:val="32"/>
          <w14:textFill>
            <w14:solidFill>
              <w14:schemeClr w14:val="tx1"/>
            </w14:solidFill>
          </w14:textFill>
        </w:rPr>
        <w:t>以推动高质量发展为主题，以深化供给侧结构性改革为主线，以改革创新为根本动力，以满足人民日益增长的美好生活需要为根本目的，坚持系统观念，巩固拓展疫情防控和经济社会发展成果，更好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color w:val="000000" w:themeColor="text1"/>
          <w:sz w:val="32"/>
          <w:szCs w:val="32"/>
          <w14:textFill>
            <w14:solidFill>
              <w14:schemeClr w14:val="tx1"/>
            </w14:solidFill>
          </w14:textFill>
        </w:rPr>
        <w:t>统筹发展和安全，注重供需两侧发力，扩大高水平对外开放，继续做好“六稳”工作、落实“六保”任务，科学精准实施宏观政策，努力保持经济运行在合理区间。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（一）扭住供给侧改革，加快产业转型升级再提档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推动传统产业改造提升。</w:t>
      </w:r>
      <w:r>
        <w:rPr>
          <w:rFonts w:hint="default" w:ascii="Times New Roman" w:hAnsi="Times New Roman" w:eastAsia="仿宋_GB2312" w:cs="Times New Roman"/>
          <w:color w:val="000000" w:themeColor="text1"/>
          <w:sz w:val="32"/>
          <w:szCs w:val="32"/>
          <w14:textFill>
            <w14:solidFill>
              <w14:schemeClr w14:val="tx1"/>
            </w14:solidFill>
          </w14:textFill>
        </w:rPr>
        <w:t>建立智能制造企业培育库，全力打造标杆示范企业。扶持上海豫宏等企业创建省级企业技术中心，指导安澜科技等企业通过省首台（套）重大装备认定，支持输油泵等企业申报省级新技术新产品鉴定、省级新技术新产品推广目录。摸排3000万元以上重点技改项目，引导企业在生产装备、技术工艺等方面加强改造升级。</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保障粮食和农产品有效供给。</w:t>
      </w:r>
      <w:r>
        <w:rPr>
          <w:rFonts w:hint="default" w:ascii="Times New Roman" w:hAnsi="Times New Roman" w:eastAsia="仿宋_GB2312" w:cs="Times New Roman"/>
          <w:color w:val="000000" w:themeColor="text1"/>
          <w:sz w:val="32"/>
          <w:szCs w:val="32"/>
          <w14:textFill>
            <w14:solidFill>
              <w14:schemeClr w14:val="tx1"/>
            </w14:solidFill>
          </w14:textFill>
        </w:rPr>
        <w:t>进一步优化农业补贴政策，纵深提高农业产业化水平。严格落实国家收购政策，充分发挥国有粮食企业主渠道作用。深入开展“春雷行动”等专项治理。新建生态型高标准农田5.3万亩，高效节水0.5万亩。指导推广畜禽标准化养殖模式，保障市场肉品供应。</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优化旅游供给和电商业态。</w:t>
      </w:r>
      <w:r>
        <w:rPr>
          <w:rFonts w:hint="default" w:ascii="Times New Roman" w:hAnsi="Times New Roman" w:eastAsia="仿宋_GB2312" w:cs="Times New Roman"/>
          <w:color w:val="000000" w:themeColor="text1"/>
          <w:sz w:val="32"/>
          <w:szCs w:val="32"/>
          <w14:textFill>
            <w14:solidFill>
              <w14:schemeClr w14:val="tx1"/>
            </w14:solidFill>
          </w14:textFill>
        </w:rPr>
        <w:t>大力推动“旅游+”产业发展，规划建设尧想国“非遗文化展示馆”，完善景区小剧场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开展文化进景区活动。推进文旅融合发展，打造1个文旅融合示范企业（或园区），推动文旅优秀项目和文创产品走向市场，丰富消费产品供给。健全乡村新型商品交易模式配送服务站点，整合优化县、镇、村三级物流配送体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 激发数字经济牵引力。</w:t>
      </w:r>
      <w:r>
        <w:rPr>
          <w:rFonts w:hint="default" w:ascii="Times New Roman" w:hAnsi="Times New Roman" w:eastAsia="仿宋_GB2312" w:cs="Times New Roman"/>
          <w:color w:val="000000" w:themeColor="text1"/>
          <w:sz w:val="32"/>
          <w:szCs w:val="32"/>
          <w14:textFill>
            <w14:solidFill>
              <w14:schemeClr w14:val="tx1"/>
            </w14:solidFill>
          </w14:textFill>
        </w:rPr>
        <w:t>深入推进企业数字化转型，推动企业“互联网+工业”深度融合，动员重点企业积极应用数字化、智能化管控软件，支持西派集团等企业申报省级工业互联网标杆工厂。开展企业上云上平台行动，指导杰创科技等企业申报“省星级上云企业”。加快推进数字产业化发展，发展城市旅游大数据、特色农产品大数据等产业。</w:t>
      </w:r>
    </w:p>
    <w:p>
      <w:pPr>
        <w:pStyle w:val="21"/>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14:textFill>
            <w14:solidFill>
              <w14:schemeClr w14:val="tx1"/>
            </w14:solidFill>
          </w14:textFill>
        </w:rPr>
        <w:t>5. 加大金融供给力度。</w:t>
      </w:r>
      <w:r>
        <w:rPr>
          <w:rFonts w:hint="default" w:ascii="Times New Roman" w:hAnsi="Times New Roman" w:eastAsia="仿宋_GB2312" w:cs="Times New Roman"/>
          <w:color w:val="000000" w:themeColor="text1"/>
          <w14:textFill>
            <w14:solidFill>
              <w14:schemeClr w14:val="tx1"/>
            </w14:solidFill>
          </w14:textFill>
        </w:rPr>
        <w:t>继续加大对民营、小微和制造业企业的金融供给力度。开展“金融支持制造业提质增效计划”活动，执行LPR利率下行所有政策，保持政府性融资担保公司担保收费降至1%以下，免收评审费、保证金、资料费。完成视科新材料创业板上市。</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6. 营商制度优化供给。</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深入贯彻落实《优化营商环境条例》。</w:t>
      </w:r>
      <w:r>
        <w:rPr>
          <w:rFonts w:hint="default" w:ascii="Times New Roman" w:hAnsi="Times New Roman" w:eastAsia="仿宋_GB2312" w:cs="Times New Roman"/>
          <w:color w:val="000000" w:themeColor="text1"/>
          <w:sz w:val="32"/>
          <w:szCs w:val="32"/>
          <w14:textFill>
            <w14:solidFill>
              <w14:schemeClr w14:val="tx1"/>
            </w14:solidFill>
          </w14:textFill>
        </w:rPr>
        <w:t>实施指标优化、政策纾困和效能提升“三大工程”，实现“拿证即经营”，水、电、气报装申请全流程网上办理，“项目审批即落地”“拿地即开工”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整合、优化现有的社会治理、经济服务管理等网格，全面整合三项评价机制，完善营商评价体系。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（二）注重需求侧管理，服务新发展格局再作为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促进消费升级。</w:t>
      </w:r>
      <w:r>
        <w:rPr>
          <w:rFonts w:hint="default" w:ascii="Times New Roman" w:hAnsi="Times New Roman" w:eastAsia="仿宋_GB2312" w:cs="Times New Roman"/>
          <w:b w:val="0"/>
          <w:color w:val="000000" w:themeColor="text1"/>
          <w:sz w:val="32"/>
          <w:szCs w:val="32"/>
          <w14:textFill>
            <w14:solidFill>
              <w14:schemeClr w14:val="tx1"/>
            </w14:solidFill>
          </w14:textFill>
        </w:rPr>
        <w:t>提升传统消费，</w:t>
      </w:r>
      <w:r>
        <w:rPr>
          <w:rFonts w:hint="default" w:ascii="Times New Roman" w:hAnsi="Times New Roman" w:eastAsia="仿宋_GB2312" w:cs="Times New Roman"/>
          <w:color w:val="000000" w:themeColor="text1"/>
          <w:sz w:val="32"/>
          <w:szCs w:val="32"/>
          <w14:textFill>
            <w14:solidFill>
              <w14:schemeClr w14:val="tx1"/>
            </w14:solidFill>
          </w14:textFill>
        </w:rPr>
        <w:t>做强综合型购物中心等新型商贸业态，打造一批五彩缤纷“夜经济”特色点位，促进夜市消费经济持续增长。培育新型消费，挖掘网络消费、绿色消费等新型消费潜力；健全现代流通体系，发展无接触交易服务，促进线上线下消费融合发展，开拓城乡消费市场。拓宽消费领域，发展养老、托幼等服务消费，推进卫生院完善康复、护理等医养结合功能；完成3家农村社区居家养老服务中心提档升级建设；推进公办养老机构内设医务室建设、“家庭照护床位”试点、80周岁及以上老年人评估全覆盖等，力争居家养老服务中心（站）标准化建设覆盖率80%，确保街道老年人日间照料中心建设覆盖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主动融入区域消费格局。</w:t>
      </w:r>
      <w:r>
        <w:rPr>
          <w:rFonts w:hint="default" w:ascii="Times New Roman" w:hAnsi="Times New Roman" w:eastAsia="仿宋_GB2312" w:cs="Times New Roman"/>
          <w:bCs/>
          <w:color w:val="000000" w:themeColor="text1"/>
          <w:sz w:val="32"/>
          <w:szCs w:val="32"/>
          <w14:textFill>
            <w14:solidFill>
              <w14:schemeClr w14:val="tx1"/>
            </w14:solidFill>
          </w14:textFill>
        </w:rPr>
        <w:t>在全域旅游和服务供给上求突破，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以“生态旅游资源”为</w:t>
      </w:r>
      <w:r>
        <w:rPr>
          <w:rFonts w:hint="default" w:ascii="Times New Roman" w:hAnsi="Times New Roman" w:eastAsia="仿宋_GB2312" w:cs="Times New Roman"/>
          <w:color w:val="000000" w:themeColor="text1"/>
          <w:sz w:val="32"/>
          <w:szCs w:val="32"/>
          <w14:textFill>
            <w14:solidFill>
              <w14:schemeClr w14:val="tx1"/>
            </w14:solidFill>
          </w14:textFill>
        </w:rPr>
        <w:t>纽带</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，创建区域康养生态名县，提升供给省内、国内需求的适配性，推进区域合作，打造长三角生态农产品供给地和旅游目的地，更好地融入省内循环、国内循环。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推动内外贸融合发展。</w:t>
      </w:r>
      <w:r>
        <w:rPr>
          <w:rFonts w:hint="default" w:ascii="Times New Roman" w:hAnsi="Times New Roman" w:eastAsia="仿宋_GB2312" w:cs="Times New Roman"/>
          <w:color w:val="000000" w:themeColor="text1"/>
          <w:sz w:val="32"/>
          <w:szCs w:val="32"/>
          <w14:textFill>
            <w14:solidFill>
              <w14:schemeClr w14:val="tx1"/>
            </w14:solidFill>
          </w14:textFill>
        </w:rPr>
        <w:t>帮助腾威电子等企业开展出口转内销，支持神华药业等防疫物资生产企业开展CE、FDA等出口产品认证。引导企业通过</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研发适合国内市场需求的产品</w:t>
      </w:r>
      <w:r>
        <w:rPr>
          <w:rFonts w:hint="default" w:ascii="Times New Roman" w:hAnsi="Times New Roman" w:eastAsia="仿宋_GB2312" w:cs="Times New Roman"/>
          <w:color w:val="000000" w:themeColor="text1"/>
          <w:sz w:val="32"/>
          <w:szCs w:val="32"/>
          <w14:textFill>
            <w14:solidFill>
              <w14:schemeClr w14:val="tx1"/>
            </w14:solidFill>
          </w14:textFill>
        </w:rPr>
        <w:t>、跨境电商平台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等途径</w:t>
      </w:r>
      <w:r>
        <w:rPr>
          <w:rFonts w:hint="default" w:ascii="Times New Roman" w:hAnsi="Times New Roman" w:eastAsia="仿宋_GB2312" w:cs="Times New Roman"/>
          <w:color w:val="000000" w:themeColor="text1"/>
          <w:sz w:val="32"/>
          <w:szCs w:val="32"/>
          <w14:textFill>
            <w14:solidFill>
              <w14:schemeClr w14:val="tx1"/>
            </w14:solidFill>
          </w14:textFill>
        </w:rPr>
        <w:t>开拓国内国际市场。</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支持企业参加</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进博会</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C</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IE</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等，扩大进口规模，优化进出口结构</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 促进外资稳量提质。</w:t>
      </w:r>
      <w:r>
        <w:rPr>
          <w:rFonts w:hint="default" w:ascii="Times New Roman" w:hAnsi="Times New Roman" w:eastAsia="仿宋_GB2312" w:cs="Times New Roman"/>
          <w:color w:val="000000" w:themeColor="text1"/>
          <w:sz w:val="32"/>
          <w:szCs w:val="32"/>
          <w14:textFill>
            <w14:solidFill>
              <w14:schemeClr w14:val="tx1"/>
            </w14:solidFill>
          </w14:textFill>
        </w:rPr>
        <w:t>加强与外商协会、招商代理联系，帮助石油机械、新材料等企业与境外相关企业对接，通过股权并购、引进技术设备等途径招引先进制造业外资项目。提高房地产开发、基础设施、城建交通利用外资强度。</w:t>
      </w:r>
    </w:p>
    <w:p>
      <w:pPr>
        <w:spacing w:line="560" w:lineRule="exact"/>
        <w:ind w:firstLine="640" w:firstLineChars="200"/>
        <w:outlineLvl w:val="1"/>
        <w:rPr>
          <w:rFonts w:eastAsia="楷体_GB2312"/>
          <w:sz w:val="32"/>
          <w:szCs w:val="32"/>
        </w:rPr>
      </w:pPr>
      <w:r>
        <w:rPr>
          <w:rFonts w:eastAsia="楷体_GB2312"/>
          <w:sz w:val="32"/>
          <w:szCs w:val="32"/>
        </w:rPr>
        <w:t>（三）</w:t>
      </w:r>
      <w:r>
        <w:rPr>
          <w:rFonts w:hint="eastAsia" w:eastAsia="楷体_GB2312"/>
          <w:sz w:val="32"/>
          <w:szCs w:val="32"/>
        </w:rPr>
        <w:t>增强发展新动能</w:t>
      </w:r>
      <w:r>
        <w:rPr>
          <w:rFonts w:eastAsia="楷体_GB2312"/>
          <w:sz w:val="32"/>
          <w:szCs w:val="32"/>
        </w:rPr>
        <w:t>，</w:t>
      </w:r>
      <w:r>
        <w:rPr>
          <w:rFonts w:hint="eastAsia" w:eastAsia="楷体_GB2312"/>
          <w:sz w:val="32"/>
          <w:szCs w:val="32"/>
        </w:rPr>
        <w:t>引领高质量发展再加速</w:t>
      </w:r>
    </w:p>
    <w:p>
      <w:pPr>
        <w:spacing w:line="560" w:lineRule="exact"/>
        <w:ind w:firstLine="643" w:firstLineChars="200"/>
        <w:rPr>
          <w:rFonts w:eastAsia="仿宋_GB2312"/>
          <w:sz w:val="32"/>
          <w:szCs w:val="32"/>
        </w:rPr>
      </w:pPr>
      <w:r>
        <w:rPr>
          <w:rFonts w:hint="eastAsia" w:eastAsia="仿宋_GB2312"/>
          <w:b/>
          <w:sz w:val="32"/>
          <w:szCs w:val="32"/>
        </w:rPr>
        <w:t>1</w:t>
      </w:r>
      <w:r>
        <w:rPr>
          <w:rFonts w:eastAsia="仿宋_GB2312"/>
          <w:b/>
          <w:sz w:val="32"/>
          <w:szCs w:val="32"/>
        </w:rPr>
        <w:t xml:space="preserve">. </w:t>
      </w:r>
      <w:r>
        <w:rPr>
          <w:rFonts w:hint="eastAsia" w:eastAsia="仿宋_GB2312"/>
          <w:b/>
          <w:sz w:val="32"/>
          <w:szCs w:val="32"/>
        </w:rPr>
        <w:t>提升创新支撑能力。</w:t>
      </w:r>
      <w:r>
        <w:rPr>
          <w:rFonts w:eastAsia="仿宋_GB2312"/>
          <w:sz w:val="32"/>
          <w:szCs w:val="32"/>
        </w:rPr>
        <w:t>高企培育、研发投入实现新突破，全社会研发支出占GDP比重达2.1%；万人高价值发明专利拥有量达2.5件，高新技术产业产值占比</w:t>
      </w:r>
      <w:r>
        <w:rPr>
          <w:rFonts w:hint="eastAsia" w:eastAsia="仿宋_GB2312"/>
          <w:sz w:val="32"/>
          <w:szCs w:val="32"/>
          <w:lang w:val="en-US" w:eastAsia="zh-CN"/>
        </w:rPr>
        <w:t>达</w:t>
      </w:r>
      <w:r>
        <w:rPr>
          <w:rFonts w:eastAsia="仿宋_GB2312"/>
          <w:sz w:val="32"/>
          <w:szCs w:val="32"/>
        </w:rPr>
        <w:t>30.5%；申报重大成果转化项目2项以上；获批市级以上研发机构3家以上；获批国家高新技术企业20家，入库科技型中小企业100家。实现人才招引突破，修订“荷都俊才”引育工程3.0版，力争全年引进高层次人才50名</w:t>
      </w:r>
      <w:r>
        <w:rPr>
          <w:rFonts w:hint="eastAsia" w:eastAsia="仿宋_GB2312"/>
          <w:sz w:val="32"/>
          <w:szCs w:val="32"/>
        </w:rPr>
        <w:t>，</w:t>
      </w:r>
      <w:r>
        <w:rPr>
          <w:rFonts w:eastAsia="仿宋_GB2312"/>
          <w:sz w:val="32"/>
          <w:szCs w:val="32"/>
        </w:rPr>
        <w:t>培育行业技术领军人才；建成“荷都香才”工匠学苑、名师工作室、“三带两助”示范基地10个左右；实施“荷都栖才计划”，加速推进开发区人才公寓建设交付，让人才应住尽住。</w:t>
      </w:r>
    </w:p>
    <w:p>
      <w:pPr>
        <w:spacing w:line="560" w:lineRule="exact"/>
        <w:ind w:firstLine="643" w:firstLineChars="200"/>
        <w:rPr>
          <w:rFonts w:hint="eastAsia" w:eastAsia="仿宋_GB2312"/>
          <w:sz w:val="32"/>
          <w:szCs w:val="32"/>
          <w:highlight w:val="none"/>
        </w:rPr>
      </w:pPr>
      <w:r>
        <w:rPr>
          <w:rFonts w:hint="eastAsia" w:eastAsia="仿宋_GB2312"/>
          <w:b/>
          <w:sz w:val="32"/>
          <w:szCs w:val="32"/>
        </w:rPr>
        <w:t>2</w:t>
      </w:r>
      <w:r>
        <w:rPr>
          <w:rFonts w:eastAsia="仿宋_GB2312"/>
          <w:b/>
          <w:sz w:val="32"/>
          <w:szCs w:val="32"/>
        </w:rPr>
        <w:t>.</w:t>
      </w:r>
      <w:r>
        <w:rPr>
          <w:rFonts w:hint="eastAsia" w:eastAsia="仿宋_GB2312"/>
          <w:b/>
          <w:sz w:val="32"/>
          <w:szCs w:val="32"/>
        </w:rPr>
        <w:t xml:space="preserve"> </w:t>
      </w:r>
      <w:r>
        <w:rPr>
          <w:rFonts w:hint="eastAsia" w:eastAsia="仿宋_GB2312"/>
          <w:b/>
          <w:sz w:val="32"/>
          <w:szCs w:val="32"/>
          <w:lang w:val="en-US" w:eastAsia="zh-CN"/>
        </w:rPr>
        <w:t>推动产业链现代化</w:t>
      </w:r>
      <w:r>
        <w:rPr>
          <w:rFonts w:hint="eastAsia" w:eastAsia="仿宋_GB2312"/>
          <w:b/>
          <w:sz w:val="32"/>
          <w:szCs w:val="32"/>
        </w:rPr>
        <w:t>。</w:t>
      </w:r>
      <w:r>
        <w:rPr>
          <w:rFonts w:eastAsia="仿宋_GB2312"/>
          <w:sz w:val="32"/>
          <w:szCs w:val="32"/>
        </w:rPr>
        <w:t>全面梳理</w:t>
      </w:r>
      <w:r>
        <w:rPr>
          <w:rFonts w:hint="eastAsia" w:eastAsia="仿宋_GB2312"/>
          <w:sz w:val="32"/>
          <w:szCs w:val="32"/>
        </w:rPr>
        <w:t>、</w:t>
      </w:r>
      <w:r>
        <w:rPr>
          <w:rFonts w:eastAsia="仿宋_GB2312"/>
          <w:sz w:val="32"/>
          <w:szCs w:val="32"/>
        </w:rPr>
        <w:t>编制主导产业链，有针对性</w:t>
      </w:r>
      <w:r>
        <w:rPr>
          <w:rFonts w:hint="eastAsia" w:eastAsia="仿宋_GB2312"/>
          <w:sz w:val="32"/>
          <w:szCs w:val="32"/>
        </w:rPr>
        <w:t>地建链、</w:t>
      </w:r>
      <w:r>
        <w:rPr>
          <w:rFonts w:eastAsia="仿宋_GB2312"/>
          <w:sz w:val="32"/>
          <w:szCs w:val="32"/>
        </w:rPr>
        <w:t>固链</w:t>
      </w:r>
      <w:r>
        <w:rPr>
          <w:rFonts w:hint="eastAsia" w:eastAsia="仿宋_GB2312"/>
          <w:sz w:val="32"/>
          <w:szCs w:val="32"/>
        </w:rPr>
        <w:t>、</w:t>
      </w:r>
      <w:r>
        <w:rPr>
          <w:rFonts w:eastAsia="仿宋_GB2312"/>
          <w:sz w:val="32"/>
          <w:szCs w:val="32"/>
        </w:rPr>
        <w:t>补链</w:t>
      </w:r>
      <w:r>
        <w:rPr>
          <w:rFonts w:hint="eastAsia" w:eastAsia="仿宋_GB2312"/>
          <w:sz w:val="32"/>
          <w:szCs w:val="32"/>
        </w:rPr>
        <w:t>、</w:t>
      </w:r>
      <w:r>
        <w:rPr>
          <w:rFonts w:eastAsia="仿宋_GB2312"/>
          <w:sz w:val="32"/>
          <w:szCs w:val="32"/>
        </w:rPr>
        <w:t>延链</w:t>
      </w:r>
      <w:r>
        <w:rPr>
          <w:rFonts w:hint="eastAsia" w:eastAsia="仿宋_GB2312"/>
          <w:sz w:val="32"/>
          <w:szCs w:val="32"/>
        </w:rPr>
        <w:t>、</w:t>
      </w:r>
      <w:r>
        <w:rPr>
          <w:rFonts w:eastAsia="仿宋_GB2312"/>
          <w:sz w:val="32"/>
          <w:szCs w:val="32"/>
        </w:rPr>
        <w:t>强链，</w:t>
      </w:r>
      <w:r>
        <w:rPr>
          <w:rFonts w:hint="eastAsia" w:eastAsia="仿宋_GB2312"/>
          <w:sz w:val="32"/>
          <w:szCs w:val="32"/>
          <w:lang w:val="en-US" w:eastAsia="zh-CN"/>
        </w:rPr>
        <w:t>着力</w:t>
      </w:r>
      <w:r>
        <w:rPr>
          <w:rFonts w:eastAsia="仿宋_GB2312"/>
          <w:sz w:val="32"/>
          <w:szCs w:val="32"/>
        </w:rPr>
        <w:t>提高产业链供应链现代化水平</w:t>
      </w:r>
      <w:r>
        <w:rPr>
          <w:rFonts w:hint="eastAsia" w:eastAsia="仿宋_GB2312"/>
          <w:sz w:val="32"/>
          <w:szCs w:val="32"/>
          <w:lang w:eastAsia="zh-CN"/>
        </w:rPr>
        <w:t>，</w:t>
      </w:r>
      <w:r>
        <w:rPr>
          <w:rFonts w:eastAsia="仿宋_GB2312"/>
          <w:sz w:val="32"/>
          <w:szCs w:val="32"/>
        </w:rPr>
        <w:t>打造独角兽企业、瞪羚企业、龙头企业。</w:t>
      </w:r>
      <w:r>
        <w:rPr>
          <w:rFonts w:hint="eastAsia" w:eastAsia="仿宋_GB2312"/>
          <w:sz w:val="32"/>
          <w:szCs w:val="32"/>
        </w:rPr>
        <w:t>以规模化、高端化、特色化为方向，</w:t>
      </w:r>
      <w:r>
        <w:rPr>
          <w:rFonts w:eastAsia="仿宋_GB2312"/>
          <w:sz w:val="32"/>
          <w:szCs w:val="32"/>
        </w:rPr>
        <w:t>开展“精准招商攻坚行动”，</w:t>
      </w:r>
      <w:r>
        <w:rPr>
          <w:rFonts w:eastAsia="仿宋_GB2312"/>
          <w:sz w:val="32"/>
          <w:szCs w:val="32"/>
          <w:highlight w:val="none"/>
        </w:rPr>
        <w:t>力争新引进投资亿元以上项目100个，投资10亿元以上项目10个，外资项目10个，外资到账1.3亿美元。</w:t>
      </w:r>
    </w:p>
    <w:p>
      <w:pPr>
        <w:spacing w:line="560" w:lineRule="exact"/>
        <w:ind w:firstLine="643" w:firstLineChars="200"/>
      </w:pPr>
      <w:r>
        <w:rPr>
          <w:rFonts w:hint="eastAsia" w:eastAsia="仿宋_GB2312"/>
          <w:b/>
          <w:sz w:val="32"/>
          <w:szCs w:val="32"/>
        </w:rPr>
        <w:t>3</w:t>
      </w:r>
      <w:r>
        <w:rPr>
          <w:rFonts w:eastAsia="仿宋_GB2312"/>
          <w:b/>
          <w:sz w:val="32"/>
          <w:szCs w:val="32"/>
        </w:rPr>
        <w:t>. 加强“两新一重”项目建设。</w:t>
      </w:r>
      <w:r>
        <w:rPr>
          <w:rFonts w:eastAsia="仿宋_GB2312"/>
          <w:sz w:val="32"/>
          <w:szCs w:val="32"/>
        </w:rPr>
        <w:t>有序推动5G、智慧交通等新型基础设施建设，投入使用5G基站100座，力争实现各镇街中心区域5G全覆盖。</w:t>
      </w:r>
      <w:r>
        <w:rPr>
          <w:rFonts w:hint="eastAsia" w:eastAsia="仿宋_GB2312"/>
          <w:sz w:val="32"/>
          <w:szCs w:val="32"/>
          <w:lang w:val="en-US" w:eastAsia="zh-CN"/>
        </w:rPr>
        <w:t>建成</w:t>
      </w:r>
      <w:r>
        <w:rPr>
          <w:rFonts w:eastAsia="仿宋_GB2312"/>
          <w:sz w:val="32"/>
          <w:szCs w:val="32"/>
        </w:rPr>
        <w:t>247省道金湖南段、白马湖景区连接线、通用机场，金南客运站</w:t>
      </w:r>
      <w:r>
        <w:rPr>
          <w:rFonts w:hint="eastAsia" w:eastAsia="仿宋_GB2312"/>
          <w:sz w:val="32"/>
          <w:szCs w:val="32"/>
          <w:lang w:val="en-US" w:eastAsia="zh-CN"/>
        </w:rPr>
        <w:t>投入运营</w:t>
      </w:r>
      <w:r>
        <w:rPr>
          <w:rFonts w:eastAsia="仿宋_GB2312"/>
          <w:sz w:val="32"/>
          <w:szCs w:val="32"/>
        </w:rPr>
        <w:t>，推进宁淮高铁金湖段（含金湖站综合客运枢纽）工程建设。开工建设金宝航道石港船闸升级改造等，继续推进金天仪高速、金湖高邮西通道（高邮湖大桥连接线）工作进度。</w:t>
      </w:r>
    </w:p>
    <w:p>
      <w:pPr>
        <w:spacing w:line="560" w:lineRule="exact"/>
        <w:ind w:firstLine="643" w:firstLineChars="200"/>
        <w:rPr>
          <w:rFonts w:hint="default"/>
          <w:lang w:val="en-US"/>
        </w:rPr>
      </w:pPr>
      <w:r>
        <w:rPr>
          <w:rFonts w:hint="eastAsia" w:eastAsia="仿宋_GB2312"/>
          <w:b/>
          <w:sz w:val="32"/>
          <w:szCs w:val="32"/>
        </w:rPr>
        <w:t>4</w:t>
      </w:r>
      <w:r>
        <w:rPr>
          <w:rFonts w:eastAsia="仿宋_GB2312"/>
          <w:b/>
          <w:sz w:val="32"/>
          <w:szCs w:val="32"/>
        </w:rPr>
        <w:t xml:space="preserve">. </w:t>
      </w:r>
      <w:r>
        <w:rPr>
          <w:rFonts w:hint="eastAsia" w:eastAsia="仿宋_GB2312"/>
          <w:b/>
          <w:sz w:val="32"/>
          <w:szCs w:val="32"/>
        </w:rPr>
        <w:t>保障重大</w:t>
      </w:r>
      <w:r>
        <w:rPr>
          <w:rFonts w:eastAsia="仿宋_GB2312"/>
          <w:b/>
          <w:sz w:val="32"/>
          <w:szCs w:val="32"/>
        </w:rPr>
        <w:t>项目</w:t>
      </w:r>
      <w:r>
        <w:rPr>
          <w:rFonts w:hint="eastAsia" w:eastAsia="仿宋_GB2312"/>
          <w:b/>
          <w:sz w:val="32"/>
          <w:szCs w:val="32"/>
          <w:lang w:val="en-US" w:eastAsia="zh-CN"/>
        </w:rPr>
        <w:t>顺利落地</w:t>
      </w:r>
      <w:r>
        <w:rPr>
          <w:rFonts w:eastAsia="仿宋_GB2312"/>
          <w:b/>
          <w:sz w:val="32"/>
          <w:szCs w:val="32"/>
        </w:rPr>
        <w:t>。</w:t>
      </w:r>
      <w:r>
        <w:rPr>
          <w:rFonts w:eastAsia="仿宋_GB2312"/>
          <w:sz w:val="32"/>
          <w:szCs w:val="32"/>
        </w:rPr>
        <w:t>抓好重大项目库亿元以上项目储备</w:t>
      </w:r>
      <w:r>
        <w:rPr>
          <w:rFonts w:hint="eastAsia" w:eastAsia="仿宋_GB2312"/>
          <w:sz w:val="32"/>
          <w:szCs w:val="32"/>
          <w:lang w:eastAsia="zh-CN"/>
        </w:rPr>
        <w:t>，</w:t>
      </w:r>
      <w:r>
        <w:rPr>
          <w:rFonts w:eastAsia="仿宋_GB2312"/>
          <w:sz w:val="32"/>
          <w:szCs w:val="32"/>
        </w:rPr>
        <w:t>编制出台《金湖县2021年县级投资计划》</w:t>
      </w:r>
      <w:r>
        <w:rPr>
          <w:rFonts w:hint="eastAsia" w:eastAsia="仿宋_GB2312"/>
          <w:sz w:val="32"/>
          <w:szCs w:val="32"/>
          <w:lang w:eastAsia="zh-CN"/>
        </w:rPr>
        <w:t>，</w:t>
      </w:r>
      <w:r>
        <w:rPr>
          <w:rFonts w:hint="eastAsia" w:eastAsia="仿宋_GB2312"/>
          <w:sz w:val="32"/>
          <w:szCs w:val="32"/>
          <w:lang w:val="en-US" w:eastAsia="zh-CN"/>
        </w:rPr>
        <w:t>落实市重大项目县领导挂钩制度，加大项目要素供给保障力度，按照项目建设计划表，强力推进；按月完成中央预算投资重大项目库调度。</w:t>
      </w:r>
    </w:p>
    <w:p>
      <w:pPr>
        <w:pStyle w:val="21"/>
        <w:keepNext w:val="0"/>
        <w:keepLines w:val="0"/>
        <w:pageBreakBefore w:val="0"/>
        <w:widowControl w:val="0"/>
        <w:kinsoku/>
        <w:wordWrap/>
        <w:overflowPunct/>
        <w:topLinePunct w:val="0"/>
        <w:autoSpaceDE/>
        <w:autoSpaceDN/>
        <w:bidi w:val="0"/>
        <w:spacing w:line="560" w:lineRule="exact"/>
        <w:ind w:leftChars="0" w:firstLine="640" w:firstLineChars="200"/>
        <w:textAlignment w:val="auto"/>
        <w:outlineLvl w:val="1"/>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w:t>
      </w:r>
      <w:r>
        <w:rPr>
          <w:rFonts w:hint="eastAsia" w:ascii="Times New Roman" w:hAnsi="Times New Roman" w:eastAsia="楷体_GB2312" w:cs="Times New Roman"/>
          <w:color w:val="000000" w:themeColor="text1"/>
          <w:lang w:val="en-US" w:eastAsia="zh-CN"/>
          <w14:textFill>
            <w14:solidFill>
              <w14:schemeClr w14:val="tx1"/>
            </w14:solidFill>
          </w14:textFill>
        </w:rPr>
        <w:t>四</w:t>
      </w:r>
      <w:r>
        <w:rPr>
          <w:rFonts w:hint="default" w:ascii="Times New Roman" w:hAnsi="Times New Roman" w:eastAsia="楷体_GB2312" w:cs="Times New Roman"/>
          <w:color w:val="000000" w:themeColor="text1"/>
          <w14:textFill>
            <w14:solidFill>
              <w14:schemeClr w14:val="tx1"/>
            </w14:solidFill>
          </w14:textFill>
        </w:rPr>
        <w:t>）持续推动绿色发展，促进环境综合治理再深化</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推动治污攻坚提档升级。</w:t>
      </w:r>
      <w:r>
        <w:rPr>
          <w:rFonts w:hint="default" w:ascii="Times New Roman" w:hAnsi="Times New Roman" w:eastAsia="仿宋_GB2312" w:cs="Times New Roman"/>
          <w:color w:val="000000" w:themeColor="text1"/>
          <w:sz w:val="32"/>
          <w:szCs w:val="32"/>
          <w14:textFill>
            <w14:solidFill>
              <w14:schemeClr w14:val="tx1"/>
            </w14:solidFill>
          </w14:textFill>
        </w:rPr>
        <w:t>制定实施“升级版”的治污攻坚作战方案。全面落实“点位长”制度，加大“四个调整”力度，力争年度PM2.5控制在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37</w:t>
      </w:r>
      <w:r>
        <w:rPr>
          <w:rFonts w:hint="default" w:ascii="Times New Roman" w:hAnsi="Times New Roman" w:eastAsia="仿宋_GB2312" w:cs="Times New Roman"/>
          <w:color w:val="000000" w:themeColor="text1"/>
          <w:sz w:val="32"/>
          <w:szCs w:val="32"/>
          <w14:textFill>
            <w14:solidFill>
              <w14:schemeClr w14:val="tx1"/>
            </w14:solidFill>
          </w14:textFill>
        </w:rPr>
        <w:t>微克/立方米以下，优良天数比例在80%以上。深入落实“河长制”，抓好白马湖水质稳定和利农河水质提升，确保地表水国控省控断面优于Ⅲ类水质比例和各水环境功能区达省市考核要求，集中式饮用水源地水质达标率100%。落实土壤污染分级分类管理措施，有序开展受污染地块治理修复试点，提高固危废规范化处置水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保护修复打造特色亮点。</w:t>
      </w:r>
      <w:r>
        <w:rPr>
          <w:rFonts w:hint="default" w:ascii="Times New Roman" w:hAnsi="Times New Roman" w:eastAsia="仿宋_GB2312" w:cs="Times New Roman"/>
          <w:color w:val="000000" w:themeColor="text1"/>
          <w:sz w:val="32"/>
          <w:szCs w:val="32"/>
          <w14:textFill>
            <w14:solidFill>
              <w14:schemeClr w14:val="tx1"/>
            </w14:solidFill>
          </w14:textFill>
        </w:rPr>
        <w:t>坚持治污、留白、增绿多措并举，促进县域生态空间更加清新疏朗。继续加大城区黑臭水体整治力度。巩固扩大农村黑臭水体治理成效。扎实推进高邮湖、宝应湖退圩还湖工程，打造河湖生态保护修复的“金湖样本”。</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推动绿色低碳循环发展。</w:t>
      </w:r>
      <w:r>
        <w:rPr>
          <w:rFonts w:hint="default" w:ascii="Times New Roman" w:hAnsi="Times New Roman" w:eastAsia="仿宋_GB2312" w:cs="Times New Roman"/>
          <w:color w:val="000000" w:themeColor="text1"/>
          <w:sz w:val="32"/>
          <w:szCs w:val="32"/>
          <w14:textFill>
            <w14:solidFill>
              <w14:schemeClr w14:val="tx1"/>
            </w14:solidFill>
          </w14:textFill>
        </w:rPr>
        <w:t>发展绿色金融，支持绿色技术创新，推进清洁生产，推进重点行业和重要领域绿色化改造。提高支渠以下灌溉水利用系数、畜禽粪污综合利用率、规模畜禽养殖场治理率和病害动物及肉品无害化处理率。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eastAsia="楷体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楷体_GB2312" w:cs="Times New Roman"/>
          <w:color w:val="000000" w:themeColor="text1"/>
          <w:sz w:val="32"/>
          <w:szCs w:val="32"/>
          <w14:textFill>
            <w14:solidFill>
              <w14:schemeClr w14:val="tx1"/>
            </w14:solidFill>
          </w14:textFill>
        </w:rPr>
        <w:t>）打造宜居魅力湖城，推动区域协调发展再跨越</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推进以人为核心的新型城镇化。</w:t>
      </w:r>
      <w:r>
        <w:rPr>
          <w:rFonts w:hint="default" w:ascii="Times New Roman" w:hAnsi="Times New Roman" w:eastAsia="仿宋_GB2312" w:cs="Times New Roman"/>
          <w:color w:val="000000" w:themeColor="text1"/>
          <w:sz w:val="32"/>
          <w:szCs w:val="32"/>
          <w14:textFill>
            <w14:solidFill>
              <w14:schemeClr w14:val="tx1"/>
            </w14:solidFill>
          </w14:textFill>
        </w:rPr>
        <w:t>完成新一轮国土空间总体规划编制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衔接土地征收成片开发方案，严格执行年度用地计划，严格建设用地预审和审批，发挥规划的统筹管控作用；积极开展控规全覆盖编制工作，建立控制性详细规划动态调整和维护机制。</w:t>
      </w:r>
      <w:r>
        <w:rPr>
          <w:rFonts w:hint="default" w:ascii="Times New Roman" w:hAnsi="Times New Roman" w:eastAsia="仿宋_GB2312" w:cs="Times New Roman"/>
          <w:b/>
          <w:color w:val="000000" w:themeColor="text1"/>
          <w:sz w:val="32"/>
          <w:szCs w:val="32"/>
          <w14:textFill>
            <w14:solidFill>
              <w14:schemeClr w14:val="tx1"/>
            </w14:solidFill>
          </w14:textFill>
        </w:rPr>
        <w:t>打造精品主城。</w:t>
      </w:r>
      <w:r>
        <w:rPr>
          <w:rFonts w:hint="default" w:ascii="Times New Roman" w:hAnsi="Times New Roman" w:eastAsia="仿宋_GB2312" w:cs="Times New Roman"/>
          <w:color w:val="000000" w:themeColor="text1"/>
          <w:sz w:val="32"/>
          <w:szCs w:val="32"/>
          <w14:textFill>
            <w14:solidFill>
              <w14:schemeClr w14:val="tx1"/>
            </w14:solidFill>
          </w14:textFill>
        </w:rPr>
        <w:t>丰富中心城区内涵，持续实施老旧小区改造、棚户区改造等工程，打造宜居老城。完成城区黑臭水体整治，加快实施城东片区综合开发等城建重点项目，强化园林绿化建设。启动实施“城东水城”工程，增添城市荷元素。加快主城区一体化进程，发挥高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机场带动作用，全力打造北部航空产业园、南部拓展训练基地、西部高铁科技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w:t>
      </w:r>
      <w:r>
        <w:rPr>
          <w:rFonts w:hint="default" w:ascii="Times New Roman" w:hAnsi="Times New Roman" w:eastAsia="仿宋_GB2312" w:cs="Times New Roman"/>
          <w:color w:val="000000" w:themeColor="text1"/>
          <w:sz w:val="32"/>
          <w:szCs w:val="32"/>
          <w14:textFill>
            <w14:solidFill>
              <w14:schemeClr w14:val="tx1"/>
            </w14:solidFill>
          </w14:textFill>
        </w:rPr>
        <w:t>城、东部“两园”等新载体平台。</w:t>
      </w:r>
      <w:r>
        <w:rPr>
          <w:rFonts w:hint="default" w:ascii="Times New Roman" w:hAnsi="Times New Roman" w:eastAsia="仿宋_GB2312" w:cs="Times New Roman"/>
          <w:b/>
          <w:color w:val="000000" w:themeColor="text1"/>
          <w:sz w:val="32"/>
          <w:szCs w:val="32"/>
          <w14:textFill>
            <w14:solidFill>
              <w14:schemeClr w14:val="tx1"/>
            </w14:solidFill>
          </w14:textFill>
        </w:rPr>
        <w:t>加强镇村建设。</w:t>
      </w:r>
      <w:r>
        <w:rPr>
          <w:rFonts w:hint="default" w:ascii="Times New Roman" w:hAnsi="Times New Roman" w:eastAsia="仿宋_GB2312" w:cs="Times New Roman"/>
          <w:color w:val="000000" w:themeColor="text1"/>
          <w:sz w:val="32"/>
          <w:szCs w:val="32"/>
          <w14:textFill>
            <w14:solidFill>
              <w14:schemeClr w14:val="tx1"/>
            </w14:solidFill>
          </w14:textFill>
        </w:rPr>
        <w:t>深化农村综合整治与改革，深入推进家庭农场质量提升试点，加强农村土地承包监督管理，全面推进农村产权线上交易，建立不良资产处置机制，设立土地流转履约风险补偿资金。继续创建省市特色田园乡村，开展保留村庄建设提质，规划发展村庄和农民集中居住点亮化全覆盖，提升美丽宜居乡村品质。完成“空心村”、长期“空关户”以及意愿强烈的农民住房改善。创建湖畔旺屯、幸福湾等示范项目，打造苏北农房改善“金湖品牌”。</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宋体" w:cs="Times New Roman"/>
          <w:bCs w:val="0"/>
          <w:color w:val="000000" w:themeColor="text1"/>
          <w:kern w:val="2"/>
          <w:sz w:val="21"/>
          <w:szCs w:val="24"/>
          <w:lang w:val="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14:textFill>
            <w14:solidFill>
              <w14:schemeClr w14:val="tx1"/>
            </w14:solidFill>
          </w14:textFill>
        </w:rPr>
        <w:t xml:space="preserve"> 推动</w:t>
      </w:r>
      <w:r>
        <w:rPr>
          <w:rFonts w:hint="default" w:ascii="Times New Roman" w:hAnsi="Times New Roman" w:eastAsia="仿宋_GB2312" w:cs="Times New Roman"/>
          <w:b/>
          <w:color w:val="000000" w:themeColor="text1"/>
          <w:kern w:val="0"/>
          <w:sz w:val="32"/>
          <w:szCs w:val="32"/>
          <w:lang w:val="zh-CN"/>
          <w14:textFill>
            <w14:solidFill>
              <w14:schemeClr w14:val="tx1"/>
            </w14:solidFill>
          </w14:textFill>
        </w:rPr>
        <w:t>融合一体发展。</w:t>
      </w:r>
      <w:r>
        <w:rPr>
          <w:rFonts w:hint="default" w:ascii="Times New Roman" w:hAnsi="Times New Roman" w:eastAsia="仿宋_GB2312" w:cs="Times New Roman"/>
          <w:bCs/>
          <w:color w:val="000000" w:themeColor="text1"/>
          <w:kern w:val="0"/>
          <w:sz w:val="32"/>
          <w:szCs w:val="32"/>
          <w:lang w:val="zh-CN"/>
          <w14:textFill>
            <w14:solidFill>
              <w14:schemeClr w14:val="tx1"/>
            </w14:solidFill>
          </w14:textFill>
        </w:rPr>
        <w:t>主动融入长三角一体化、省域一体化发展格局，研究更加有效</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的</w:t>
      </w:r>
      <w:r>
        <w:rPr>
          <w:rFonts w:hint="default" w:ascii="Times New Roman" w:hAnsi="Times New Roman" w:eastAsia="仿宋_GB2312" w:cs="Times New Roman"/>
          <w:bCs/>
          <w:color w:val="000000" w:themeColor="text1"/>
          <w:kern w:val="0"/>
          <w:sz w:val="32"/>
          <w:szCs w:val="32"/>
          <w:lang w:val="zh-CN"/>
          <w14:textFill>
            <w14:solidFill>
              <w14:schemeClr w14:val="tx1"/>
            </w14:solidFill>
          </w14:textFill>
        </w:rPr>
        <w:t>跨区域协调发展机制，谋划多层次沟通协调体系，探索打破行政区域界线，实现从单方面酝酿到多方达成共识，从非正式对话到官方政府合作的发展转变，建立健全全要素跨区域自由流动和统筹机制，推动形成“设施共建、产业共生、民生共享、生态共美、社会共治”的高质量区域协调发展格局。</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color w:val="000000" w:themeColor="text1"/>
          <w:kern w:val="0"/>
          <w:sz w:val="32"/>
          <w:szCs w:val="32"/>
          <w:lang w:val="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推进</w:t>
      </w:r>
      <w:r>
        <w:rPr>
          <w:rFonts w:hint="default" w:ascii="Times New Roman" w:hAnsi="Times New Roman" w:eastAsia="仿宋_GB2312" w:cs="Times New Roman"/>
          <w:b/>
          <w:color w:val="000000" w:themeColor="text1"/>
          <w:kern w:val="0"/>
          <w:sz w:val="32"/>
          <w:szCs w:val="32"/>
          <w:lang w:val="zh-CN"/>
          <w14:textFill>
            <w14:solidFill>
              <w14:schemeClr w14:val="tx1"/>
            </w14:solidFill>
          </w14:textFill>
        </w:rPr>
        <w:t>南北共建园区。</w:t>
      </w:r>
      <w:r>
        <w:rPr>
          <w:rFonts w:hint="default" w:ascii="Times New Roman" w:hAnsi="Times New Roman" w:eastAsia="仿宋_GB2312" w:cs="Times New Roman"/>
          <w:bCs/>
          <w:color w:val="000000" w:themeColor="text1"/>
          <w:kern w:val="0"/>
          <w:sz w:val="32"/>
          <w:szCs w:val="32"/>
          <w:lang w:val="zh-CN"/>
          <w14:textFill>
            <w14:solidFill>
              <w14:schemeClr w14:val="tx1"/>
            </w14:solidFill>
          </w14:textFill>
        </w:rPr>
        <w:t>根据我县产业发展基础和发展规划，从有利于产业量质提升的角度出发，加强与南京经济板块、创新载体对接，从省市层面推动园区合作共建，在开发区建设“园中园（南北共建园）”。探索形成一体化规划、土地和投资（项目）管理、公共服务、创新支撑等方面的制度体系，实现产业优势互补、协调发展，为全县产业发展打造新引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eastAsia="楷体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楷体_GB2312" w:cs="Times New Roman"/>
          <w:color w:val="000000" w:themeColor="text1"/>
          <w:sz w:val="32"/>
          <w:szCs w:val="32"/>
          <w14:textFill>
            <w14:solidFill>
              <w14:schemeClr w14:val="tx1"/>
            </w14:solidFill>
          </w14:textFill>
        </w:rPr>
        <w:t>）优化人民生活品质，推进富民惠民水平再提升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提高基本医疗服务水平。</w:t>
      </w:r>
      <w:r>
        <w:rPr>
          <w:rFonts w:hint="default" w:ascii="Times New Roman" w:hAnsi="Times New Roman" w:eastAsia="仿宋_GB2312" w:cs="Times New Roman"/>
          <w:color w:val="000000" w:themeColor="text1"/>
          <w:sz w:val="32"/>
          <w:szCs w:val="32"/>
          <w14:textFill>
            <w14:solidFill>
              <w14:schemeClr w14:val="tx1"/>
            </w14:solidFill>
          </w14:textFill>
        </w:rPr>
        <w:t>建设紧密型县域医共体，开展医共体牵头医院上联下带运行服务。探索医共体集中采购药品耗材，出台上级医院专家会诊政策。落实农村区域医疗卫生服务中心建设。推动县公共卫生服务中心建设。推进卫生院和卫生室一体化运行。做好健康扶贫、家庭医生签约和慢病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推动教育优质均衡发展。</w:t>
      </w:r>
      <w:r>
        <w:rPr>
          <w:rFonts w:hint="default" w:ascii="Times New Roman" w:hAnsi="Times New Roman" w:eastAsia="仿宋_GB2312" w:cs="Times New Roman"/>
          <w:color w:val="000000" w:themeColor="text1"/>
          <w:sz w:val="32"/>
          <w:szCs w:val="32"/>
          <w14:textFill>
            <w14:solidFill>
              <w14:schemeClr w14:val="tx1"/>
            </w14:solidFill>
          </w14:textFill>
        </w:rPr>
        <w:t>优化教育布局与师资结构。积极做好省义务教育优质均衡发展县创建工作，义务教育入学率、巩固率均为100%，全面提高全县教育质量和育人水平。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加大基本民生保障力度。</w:t>
      </w:r>
      <w:r>
        <w:rPr>
          <w:rFonts w:hint="default" w:ascii="Times New Roman" w:hAnsi="Times New Roman" w:eastAsia="仿宋_GB2312" w:cs="Times New Roman"/>
          <w:color w:val="000000" w:themeColor="text1"/>
          <w:sz w:val="32"/>
          <w:szCs w:val="32"/>
          <w14:textFill>
            <w14:solidFill>
              <w14:schemeClr w14:val="tx1"/>
            </w14:solidFill>
          </w14:textFill>
        </w:rPr>
        <w:t>坚持就业优先战略和积极就业政策不动摇，统筹推进基本民生保障，城镇新增就业人员3600人、失业人员再就业2200人，就业困难人员再就业800人，新增农村转移劳动力500人，扶持成功自主创业800人，外招2000人，城镇登记失业率控制在4%以内。开展各类职业技能培训2600人，发放富民创业担保贷款1800万元。社保覆盖率98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%，各项社会保险待遇按时足额发放率和社会化发放率均达100%。规模以上企业劳动合同签订率98.5%。建立和完善相对贫困防止返贫长效机制。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 丰富群众精神文化生活。</w:t>
      </w:r>
      <w:r>
        <w:rPr>
          <w:rFonts w:hint="default" w:ascii="Times New Roman" w:hAnsi="Times New Roman" w:eastAsia="仿宋_GB2312" w:cs="Times New Roman"/>
          <w:color w:val="000000" w:themeColor="text1"/>
          <w:sz w:val="32"/>
          <w:szCs w:val="32"/>
          <w14:textFill>
            <w14:solidFill>
              <w14:schemeClr w14:val="tx1"/>
            </w14:solidFill>
          </w14:textFill>
        </w:rPr>
        <w:t>巩固基层文化阵地，提升文化惠民工程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水平</w:t>
      </w:r>
      <w:r>
        <w:rPr>
          <w:rFonts w:hint="default" w:ascii="Times New Roman" w:hAnsi="Times New Roman" w:eastAsia="仿宋_GB2312" w:cs="Times New Roman"/>
          <w:color w:val="000000" w:themeColor="text1"/>
          <w:sz w:val="32"/>
          <w:szCs w:val="32"/>
          <w14:textFill>
            <w14:solidFill>
              <w14:schemeClr w14:val="tx1"/>
            </w14:solidFill>
          </w14:textFill>
        </w:rPr>
        <w:t>。打造一批反映地域特色文化的新时代文艺作品，推出一批优秀作品申报“双名”工程项目，冲刺省“五星工程”。加大对县群文创作中心的资金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人才投入，鼓励镇街扶持民间自办文艺团队，推进群众文艺“百花齐放”。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eastAsia="楷体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楷体_GB2312" w:cs="Times New Roman"/>
          <w:color w:val="000000" w:themeColor="text1"/>
          <w:sz w:val="32"/>
          <w:szCs w:val="32"/>
          <w14:textFill>
            <w14:solidFill>
              <w14:schemeClr w14:val="tx1"/>
            </w14:solidFill>
          </w14:textFill>
        </w:rPr>
        <w:t>）统筹好发展和安全，助力平安金湖建设再攀高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 创新社会治理方式。</w:t>
      </w:r>
      <w:r>
        <w:rPr>
          <w:rFonts w:hint="default" w:ascii="Times New Roman" w:hAnsi="Times New Roman" w:eastAsia="仿宋_GB2312" w:cs="Times New Roman"/>
          <w:color w:val="000000" w:themeColor="text1"/>
          <w:sz w:val="32"/>
          <w:szCs w:val="32"/>
          <w14:textFill>
            <w14:solidFill>
              <w14:schemeClr w14:val="tx1"/>
            </w14:solidFill>
          </w14:textFill>
        </w:rPr>
        <w:t>积极推进县域社会治理现代化建设，推进法治政府、法治金湖、法治社会一体化，完善全面依法治县制度框架。健全扫黑除恶常态化机制，实施“八大警务八项提升工程”。突出行业治理长效机制，开展行业治理评价问效，优化评价模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参与度</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 加强信用金湖建设。</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全面落实即将出台的《江苏省社会信用条例》，</w:t>
      </w:r>
      <w:r>
        <w:rPr>
          <w:rFonts w:hint="default" w:ascii="Times New Roman" w:hAnsi="Times New Roman" w:eastAsia="仿宋_GB2312" w:cs="Times New Roman"/>
          <w:bCs/>
          <w:color w:val="000000" w:themeColor="text1"/>
          <w:sz w:val="32"/>
          <w:szCs w:val="32"/>
          <w14:textFill>
            <w14:solidFill>
              <w14:schemeClr w14:val="tx1"/>
            </w14:solidFill>
          </w14:textFill>
        </w:rPr>
        <w:t>建立健全政府、市场、个人信用记录档案系统，推动信用信息共享互换。构建以信用为基础的新型监管机制，在食品药品、生态环境等重点领域加大对严重失信主体监管和惩戒力度。培育和规范信用服务市场。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 提升本质安全水平。</w:t>
      </w:r>
      <w:r>
        <w:rPr>
          <w:rFonts w:hint="default" w:ascii="Times New Roman" w:hAnsi="Times New Roman" w:eastAsia="仿宋_GB2312" w:cs="Times New Roman"/>
          <w:color w:val="000000" w:themeColor="text1"/>
          <w:sz w:val="32"/>
          <w:szCs w:val="32"/>
          <w14:textFill>
            <w14:solidFill>
              <w14:schemeClr w14:val="tx1"/>
            </w14:solidFill>
          </w14:textFill>
        </w:rPr>
        <w:t>持续开展安全生产专项整治，加强隐患排查治理，做到重大安全风险隐患防控全覆盖。强化基层监管力量，推动执法向基层一线延伸。完善食品、药品和粮食安全考核、联合监管机制，严控食品、药品和粮食安全风险。加大对危险化学品等重点产品监督抽查力度。</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 落实常态防控措施。</w:t>
      </w:r>
      <w:r>
        <w:rPr>
          <w:rFonts w:hint="default" w:ascii="Times New Roman" w:hAnsi="Times New Roman" w:eastAsia="仿宋_GB2312" w:cs="Times New Roman"/>
          <w:color w:val="000000" w:themeColor="text1"/>
          <w:sz w:val="32"/>
          <w:szCs w:val="32"/>
          <w14:textFill>
            <w14:solidFill>
              <w14:schemeClr w14:val="tx1"/>
            </w14:solidFill>
          </w14:textFill>
        </w:rPr>
        <w:t>抓细抓实常态化疫情防控措施，把防输入作为重中之重，坚持人、物同防，严格落实中高风险区返金人员闭环管理等措施，加强进口冷链食品核酸检测和预防性消毒，落实学校、农贸市场、餐饮、住宿、商超、休闲娱乐等重点场所防控措施，确保疫情不出现反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各位代表，当下疫情变化和外部环境仍存在诸多不确定性，经济恢复基础尚不牢固，疫情冲击导致的各类衍生风险不容忽视。我们要坚定不移地贯彻县委、县政府工作部署，自觉接受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人大的监督，忠实履职尽责，主动担当作为，确保实现经济社会发展各项目标任务，推动金湖经济社会高质量发展走在全市前列，确保“十四五”开好局，以优异成绩庆祝中国共产党成立100周年！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 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020</w:t>
      </w:r>
      <w:r>
        <w:rPr>
          <w:rFonts w:hint="default" w:ascii="Times New Roman" w:hAnsi="Times New Roman" w:eastAsia="仿宋_GB2312" w:cs="Times New Roman"/>
          <w:color w:val="000000" w:themeColor="text1"/>
          <w:sz w:val="32"/>
          <w:szCs w:val="32"/>
          <w14:textFill>
            <w14:solidFill>
              <w14:schemeClr w14:val="tx1"/>
            </w14:solidFill>
          </w14:textFill>
        </w:rPr>
        <w:t>年国民经济和社会发展主要指标完成情况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年国民经济和社会发展主要指标初步安排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年相关指标说明和报告名词解释</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金湖县2021年县级投资计划（草案）</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br w:type="textWrapping"/>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（政府投资计划和国有投资公司投资计划）</w:t>
      </w:r>
    </w:p>
    <w:p>
      <w:pPr>
        <w:pStyle w:val="2"/>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topLinePunct w:val="0"/>
        <w:autoSpaceDE/>
        <w:autoSpaceDN/>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sectPr>
          <w:footerReference r:id="rId3" w:type="default"/>
          <w:pgSz w:w="11906" w:h="16838"/>
          <w:pgMar w:top="2098" w:right="1587" w:bottom="1984" w:left="1587" w:header="851" w:footer="1417" w:gutter="0"/>
          <w:pgNumType w:fmt="numberInDash"/>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after="163" w:afterLines="50" w:line="7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2020年国民经济和社会发展主要指标完成情况</w:t>
      </w:r>
    </w:p>
    <w:tbl>
      <w:tblPr>
        <w:tblStyle w:val="15"/>
        <w:tblW w:w="14740" w:type="dxa"/>
        <w:jc w:val="center"/>
        <w:tblLayout w:type="fixed"/>
        <w:tblCellMar>
          <w:top w:w="0" w:type="dxa"/>
          <w:left w:w="0" w:type="dxa"/>
          <w:bottom w:w="0" w:type="dxa"/>
          <w:right w:w="0" w:type="dxa"/>
        </w:tblCellMar>
      </w:tblPr>
      <w:tblGrid>
        <w:gridCol w:w="673"/>
        <w:gridCol w:w="756"/>
        <w:gridCol w:w="1110"/>
        <w:gridCol w:w="6273"/>
        <w:gridCol w:w="1748"/>
        <w:gridCol w:w="2090"/>
        <w:gridCol w:w="2090"/>
      </w:tblGrid>
      <w:tr>
        <w:tblPrEx>
          <w:tblCellMar>
            <w:top w:w="0" w:type="dxa"/>
            <w:left w:w="0" w:type="dxa"/>
            <w:bottom w:w="0" w:type="dxa"/>
            <w:right w:w="0" w:type="dxa"/>
          </w:tblCellMar>
        </w:tblPrEx>
        <w:trPr>
          <w:trHeight w:val="454" w:hRule="atLeast"/>
          <w:tblHeader/>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类别</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序号</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2020年计划</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2020年实绩</w:t>
            </w:r>
            <w:r>
              <w:rPr>
                <w:rFonts w:hint="default" w:ascii="Times New Roman" w:hAnsi="Times New Roman" w:eastAsia="黑体"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黑体" w:cs="Times New Roman"/>
                <w:color w:val="000000" w:themeColor="text1"/>
                <w:kern w:val="0"/>
                <w:sz w:val="28"/>
                <w:szCs w:val="28"/>
                <w:lang w:bidi="ar"/>
                <w14:textFill>
                  <w14:solidFill>
                    <w14:schemeClr w14:val="tx1"/>
                  </w14:solidFill>
                </w14:textFill>
              </w:rPr>
              <w:t>（预计）</w:t>
            </w:r>
          </w:p>
        </w:tc>
      </w:tr>
      <w:tr>
        <w:tblPrEx>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经济发展类</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*地区生产总值</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6.6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3.5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*其中：规上工业增加值</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3.6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一般公共预算收入</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2.5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4.7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3</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*社会消费品零售总额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7.5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val="en-US" w:eastAsia="zh-CN" w:bidi="ar"/>
                <w14:textFill>
                  <w14:solidFill>
                    <w14:schemeClr w14:val="tx1"/>
                  </w14:solidFill>
                </w14:textFill>
              </w:rPr>
              <w:t>2.0</w:t>
            </w:r>
            <w:r>
              <w:rPr>
                <w:rFonts w:hint="default" w:ascii="Times New Roman" w:hAnsi="Times New Roman" w:cs="Times New Roman"/>
                <w:color w:val="000000" w:themeColor="text1"/>
                <w:kern w:val="0"/>
                <w:sz w:val="28"/>
                <w:szCs w:val="28"/>
                <w:lang w:bidi="ar"/>
                <w14:textFill>
                  <w14:solidFill>
                    <w14:schemeClr w14:val="tx1"/>
                  </w14:solidFill>
                </w14:textFill>
              </w:rPr>
              <w:t xml:space="preserve">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4</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*规模以上固定资产投资</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6.5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-10.0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w:t>
            </w: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*规模以上工业投资</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6.5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-25.0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高技术制造业投资占工业投资比重</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37.0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38.0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5</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研发支出占GDP比重</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6</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每万人发明专利拥有量</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11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7</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新增高新技术企业数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26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48</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8</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高新技术产业产值占规上工业产值比重</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29.5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29.5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9</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新增规上企业单位数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78</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10</w:t>
            </w:r>
            <w:r>
              <w:rPr>
                <w:rFonts w:hint="default" w:ascii="Times New Roman" w:hAnsi="Times New Roman" w:cs="Times New Roman"/>
                <w:color w:val="000000" w:themeColor="text1"/>
                <w:kern w:val="0"/>
                <w:sz w:val="28"/>
                <w:szCs w:val="28"/>
                <w:lang w:val="en-US" w:eastAsia="zh-CN" w:bidi="ar"/>
                <w14:textFill>
                  <w14:solidFill>
                    <w14:schemeClr w14:val="tx1"/>
                  </w14:solidFill>
                </w14:textFill>
              </w:rPr>
              <w:t>6</w:t>
            </w:r>
          </w:p>
        </w:tc>
      </w:tr>
      <w:tr>
        <w:tblPrEx>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改革开放类</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10</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外贸进出口总额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亿美元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4.8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4.8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11</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注册外资实际到账</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亿美元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1.25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1.3</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w:t>
            </w: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制造业外资到账</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亿美元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0.5</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制造业占注册外资实际到账比例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40.0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40.0 </w:t>
            </w:r>
          </w:p>
        </w:tc>
      </w:tr>
      <w:tr>
        <w:tblPrEx>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城乡建设类</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12</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棚户区改造新开工数量</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户</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200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1472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13</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农村无害化卫生户厕普及率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100 </w:t>
            </w:r>
          </w:p>
        </w:tc>
      </w:tr>
      <w:tr>
        <w:tblPrEx>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文化建设类</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14</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社会文明程度测评指数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实现正增长</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持续提升</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15</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新时代文明实践中心建设</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个</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r>
      <w:tr>
        <w:tblPrEx>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生态环保类</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16</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万元地区生产总值能耗、化学需氧量排放量、二氧化硫排放量、氨氮排放量、氮氧化物排放量</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17</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空气</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质量</w:t>
            </w: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空气质量达到二级标准的天数比例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PM2.5年均浓度</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微克/立方米</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18</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地表水国控省控断面优于Ⅲ类水质比例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19</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城镇污水集中处理率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85.0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90.0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20</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垃圾分类集中处理率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73.0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80.5 </w:t>
            </w:r>
          </w:p>
        </w:tc>
      </w:tr>
      <w:tr>
        <w:tblPrEx>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人民生活类</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21</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居民人均可支配收入</w:t>
            </w: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全体居民人均可支配收入</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8.2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8.3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城镇居民人均可支配收入</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8.2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8.3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农村居民人均可支配收入</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8.2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8.3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22</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城镇登记失业率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4.0</w:t>
            </w:r>
            <w:r>
              <w:rPr>
                <w:rStyle w:val="40"/>
                <w:rFonts w:hint="default" w:ascii="Times New Roman" w:hAnsi="Times New Roman" w:cs="Times New Roman"/>
                <w:color w:val="000000" w:themeColor="text1"/>
                <w:sz w:val="28"/>
                <w:szCs w:val="28"/>
                <w:lang w:bidi="ar"/>
                <w14:textFill>
                  <w14:solidFill>
                    <w14:schemeClr w14:val="tx1"/>
                  </w14:solidFill>
                </w14:textFill>
              </w:rPr>
              <w:t>以内</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1.72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其中：新增城镇就业人数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万人</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0.4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0.4050 </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23</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常住人口城镇化率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 xml:space="preserve">60.2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bidi="ar"/>
                <w14:textFill>
                  <w14:solidFill>
                    <w14:schemeClr w14:val="tx1"/>
                  </w14:solidFill>
                </w14:textFill>
              </w:rPr>
              <w:t>60.3</w:t>
            </w:r>
          </w:p>
        </w:tc>
      </w:tr>
      <w:tr>
        <w:tblPrEx>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24</w:t>
            </w:r>
          </w:p>
        </w:tc>
        <w:tc>
          <w:tcPr>
            <w:tcW w:w="72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安全生产事故起数和死亡人数下降率持续下降</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r>
    </w:tbl>
    <w:p>
      <w:pPr>
        <w:pStyle w:val="2"/>
        <w:keepNext w:val="0"/>
        <w:keepLines w:val="0"/>
        <w:pageBreakBefore w:val="0"/>
        <w:widowControl w:val="0"/>
        <w:kinsoku/>
        <w:wordWrap/>
        <w:topLinePunct w:val="0"/>
        <w:autoSpaceDE/>
        <w:autoSpaceDN/>
        <w:bidi w:val="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说明：标“*”指标为未完成指标。</w:t>
      </w: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附件2：</w:t>
      </w:r>
    </w:p>
    <w:p>
      <w:pPr>
        <w:pStyle w:val="2"/>
        <w:keepNext w:val="0"/>
        <w:keepLines w:val="0"/>
        <w:pageBreakBefore w:val="0"/>
        <w:widowControl w:val="0"/>
        <w:kinsoku/>
        <w:wordWrap/>
        <w:overflowPunct/>
        <w:topLinePunct w:val="0"/>
        <w:autoSpaceDE/>
        <w:autoSpaceDN/>
        <w:bidi w:val="0"/>
        <w:adjustRightInd/>
        <w:snapToGrid/>
        <w:spacing w:after="163" w:afterLines="50" w:line="7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2021年国民经济和社会发展主要指标初步安排</w:t>
      </w:r>
    </w:p>
    <w:tbl>
      <w:tblPr>
        <w:tblStyle w:val="15"/>
        <w:tblW w:w="14740" w:type="dxa"/>
        <w:jc w:val="center"/>
        <w:tblLayout w:type="fixed"/>
        <w:tblCellMar>
          <w:top w:w="0" w:type="dxa"/>
          <w:left w:w="0" w:type="dxa"/>
          <w:bottom w:w="0" w:type="dxa"/>
          <w:right w:w="0" w:type="dxa"/>
        </w:tblCellMar>
      </w:tblPr>
      <w:tblGrid>
        <w:gridCol w:w="808"/>
        <w:gridCol w:w="730"/>
        <w:gridCol w:w="1117"/>
        <w:gridCol w:w="5237"/>
        <w:gridCol w:w="1706"/>
        <w:gridCol w:w="1528"/>
        <w:gridCol w:w="1584"/>
        <w:gridCol w:w="2030"/>
      </w:tblGrid>
      <w:tr>
        <w:tblPrEx>
          <w:tblCellMar>
            <w:top w:w="0" w:type="dxa"/>
            <w:left w:w="0" w:type="dxa"/>
            <w:bottom w:w="0" w:type="dxa"/>
            <w:right w:w="0" w:type="dxa"/>
          </w:tblCellMar>
        </w:tblPrEx>
        <w:trPr>
          <w:cantSplit/>
          <w:trHeight w:val="482" w:hRule="atLeast"/>
          <w:tblHeader/>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类别</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序号</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单位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2020年实绩</w:t>
            </w:r>
            <w:r>
              <w:rPr>
                <w:rFonts w:hint="default" w:ascii="Times New Roman" w:hAnsi="Times New Roman" w:eastAsia="黑体"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黑体" w:cs="Times New Roman"/>
                <w:color w:val="000000" w:themeColor="text1"/>
                <w:kern w:val="0"/>
                <w:sz w:val="28"/>
                <w:szCs w:val="28"/>
                <w:lang w:bidi="ar"/>
                <w14:textFill>
                  <w14:solidFill>
                    <w14:schemeClr w14:val="tx1"/>
                  </w14:solidFill>
                </w14:textFill>
              </w:rPr>
              <w:t>（预计）</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2021年计划</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lang w:bidi="ar"/>
                <w14:textFill>
                  <w14:solidFill>
                    <w14:schemeClr w14:val="tx1"/>
                  </w14:solidFill>
                </w14:textFill>
              </w:rPr>
              <w:t>备注</w:t>
            </w:r>
          </w:p>
        </w:tc>
      </w:tr>
      <w:tr>
        <w:tblPrEx>
          <w:tblCellMar>
            <w:top w:w="0" w:type="dxa"/>
            <w:left w:w="0" w:type="dxa"/>
            <w:bottom w:w="0" w:type="dxa"/>
            <w:right w:w="0" w:type="dxa"/>
          </w:tblCellMar>
        </w:tblPrEx>
        <w:trPr>
          <w:cantSplit/>
          <w:trHeight w:val="482"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经济发展类</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地区生产总值</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3.5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7.1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预期性指标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其中：规上工业增加值</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3.6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7.6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一般公共预算收入</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4.7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3.5以上</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 </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3</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社会消费品零售总额</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2.0</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7.6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4</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规模以上固定资产投资</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-10.0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7.5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规模以上工业投资</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-25.0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7.6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高技术产业投资占比</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12.5</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left"/>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新增预期性指标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5</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研发支出占GDP比重</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1.9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2.1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预期性指标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6</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万人高价值发明专利拥有量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件</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2.0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2.5 </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新增预期性指标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7</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有效高新技术企业累计数</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个</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111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112 </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8</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高新技术产业产值占比</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29.5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30.5 </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预期性指标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9</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新增规上企业单位数</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家</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10</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72</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改革开放类</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10</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外贸进出口总额</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亿美元</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4.8</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4.</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9</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11</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注册外资实际到账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亿美元</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正增长</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12</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制造业外资到账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亿美元</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0.50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正增长</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其中：制造业占注册外资实际到账比例</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40.0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40.0 </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城乡建设类</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13</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棚户区改造新开工数量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套</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1472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完成</w:t>
            </w:r>
          </w:p>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市定目标</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预期性指标</w:t>
            </w:r>
          </w:p>
        </w:tc>
      </w:tr>
      <w:tr>
        <w:tblPrEx>
          <w:tblCellMar>
            <w:top w:w="0" w:type="dxa"/>
            <w:left w:w="0" w:type="dxa"/>
            <w:bottom w:w="0" w:type="dxa"/>
            <w:right w:w="0" w:type="dxa"/>
          </w:tblCellMar>
        </w:tblPrEx>
        <w:trPr>
          <w:cantSplit/>
          <w:trHeight w:val="51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文化建设类</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14</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社会文明程度测评指数</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持续提升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持续提升</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15</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文化产业增加值占GDP比重</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新增预期性指标</w:t>
            </w:r>
          </w:p>
        </w:tc>
      </w:tr>
      <w:tr>
        <w:tblPrEx>
          <w:tblCellMar>
            <w:top w:w="0" w:type="dxa"/>
            <w:left w:w="0" w:type="dxa"/>
            <w:bottom w:w="0" w:type="dxa"/>
            <w:right w:w="0" w:type="dxa"/>
          </w:tblCellMar>
        </w:tblPrEx>
        <w:trPr>
          <w:cantSplit/>
          <w:trHeight w:val="51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生态环保类</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16</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万元地区生产总值能耗</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完成</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市定目标</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约束性指标</w:t>
            </w: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化学需氧量排放量、二氧化硫排放量、氨氮排放量、氮氧化物排放量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吨</w:t>
            </w:r>
          </w:p>
        </w:tc>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17</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空气</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质量</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空气质量达到二级标准的天数比例</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PM2.5年均浓度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微克/立方米</w:t>
            </w:r>
          </w:p>
        </w:tc>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18</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地表水国控省控断面优于Ⅲ类水质比例</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生态环保类</w:t>
            </w:r>
          </w:p>
        </w:tc>
        <w:tc>
          <w:tcPr>
            <w:tcW w:w="718"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19</w:t>
            </w:r>
          </w:p>
        </w:tc>
        <w:tc>
          <w:tcPr>
            <w:tcW w:w="109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城镇污水集中处理率（%）</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城市污水集中处理率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90.0 </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新拆分</w:t>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约束性指标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建制镇污水集中处理率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75.0 </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20</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垃圾分类集中处理率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80.5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82.5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约束性指标</w:t>
            </w:r>
          </w:p>
        </w:tc>
      </w:tr>
      <w:tr>
        <w:tblPrEx>
          <w:tblCellMar>
            <w:top w:w="0" w:type="dxa"/>
            <w:left w:w="0" w:type="dxa"/>
            <w:bottom w:w="0" w:type="dxa"/>
            <w:right w:w="0" w:type="dxa"/>
          </w:tblCellMar>
        </w:tblPrEx>
        <w:trPr>
          <w:cantSplit/>
          <w:trHeight w:val="482"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人民生活类</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21</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居民人均可支配收入</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全体居民人均可支配收入</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8.3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7.6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预期性指标</w:t>
            </w: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城镇居民人均可支配收入</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8.3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7.4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农村居民人均可支配收入</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8.3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7.9 </w:t>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左右</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22</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城镇新增就业人数</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万人</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0.4050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0.36 </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城镇登记失业率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1.72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4以内</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23</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常住人口城镇化率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 xml:space="preserve">60.3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60.6</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482"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24</w:t>
            </w:r>
          </w:p>
        </w:tc>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安全生产事故起数和死亡人数下降率持续下降</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持续下降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持续下降</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40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约束性指标</w:t>
            </w:r>
          </w:p>
        </w:tc>
      </w:tr>
    </w:tbl>
    <w:p>
      <w:pPr>
        <w:pStyle w:val="2"/>
        <w:keepNext w:val="0"/>
        <w:keepLines w:val="0"/>
        <w:pageBreakBefore w:val="0"/>
        <w:widowControl w:val="0"/>
        <w:kinsoku/>
        <w:wordWrap/>
        <w:topLinePunct w:val="0"/>
        <w:autoSpaceDE/>
        <w:autoSpaceDN/>
        <w:bidi w:val="0"/>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keepNext w:val="0"/>
        <w:keepLines w:val="0"/>
        <w:pageBreakBefore w:val="0"/>
        <w:widowControl w:val="0"/>
        <w:kinsoku/>
        <w:wordWrap/>
        <w:topLinePunct w:val="0"/>
        <w:autoSpaceDE/>
        <w:autoSpaceDN/>
        <w:bidi w:val="0"/>
        <w:rPr>
          <w:rFonts w:hint="default" w:ascii="Times New Roman" w:hAnsi="Times New Roman" w:eastAsia="仿宋_GB2312" w:cs="Times New Roman"/>
          <w:color w:val="000000" w:themeColor="text1"/>
          <w:sz w:val="28"/>
          <w:szCs w:val="28"/>
          <w14:textFill>
            <w14:solidFill>
              <w14:schemeClr w14:val="tx1"/>
            </w14:solidFill>
          </w14:textFill>
        </w:rPr>
        <w:sectPr>
          <w:pgSz w:w="16838" w:h="11906" w:orient="landscape"/>
          <w:pgMar w:top="1587" w:right="1587" w:bottom="1587" w:left="1587" w:header="851" w:footer="1417" w:gutter="0"/>
          <w:pgNumType w:fmt="numberInDash"/>
          <w:cols w:space="0" w:num="1"/>
          <w:docGrid w:type="lines" w:linePitch="323" w:charSpace="0"/>
        </w:sectPr>
      </w:pPr>
    </w:p>
    <w:p>
      <w:pPr>
        <w:keepNext w:val="0"/>
        <w:keepLines w:val="0"/>
        <w:pageBreakBefore w:val="0"/>
        <w:widowControl w:val="0"/>
        <w:kinsoku/>
        <w:wordWrap/>
        <w:topLinePunct w:val="0"/>
        <w:autoSpaceDE/>
        <w:autoSpaceDN/>
        <w:bidi w:val="0"/>
        <w:spacing w:line="560" w:lineRule="exact"/>
        <w:outlineLvl w:val="0"/>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附件3</w:t>
      </w:r>
      <w:r>
        <w:rPr>
          <w:rFonts w:hint="default" w:ascii="Times New Roman" w:hAnsi="Times New Roman" w:eastAsia="黑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t>202</w:t>
      </w:r>
      <w:r>
        <w:rPr>
          <w:rFonts w:hint="eastAsia" w:eastAsia="方正小标宋简体" w:cs="Times New Roman"/>
          <w:color w:val="000000" w:themeColor="text1"/>
          <w:kern w:val="2"/>
          <w:sz w:val="44"/>
          <w:szCs w:val="44"/>
          <w:lang w:val="en-US" w:eastAsia="zh-CN" w:bidi="ar-SA"/>
          <w14:textFill>
            <w14:solidFill>
              <w14:schemeClr w14:val="tx1"/>
            </w14:solidFill>
          </w14:textFill>
        </w:rPr>
        <w:t>0</w:t>
      </w:r>
      <w: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t>年相关指标说明和报告名词解释</w:t>
      </w:r>
    </w:p>
    <w:p>
      <w:pPr>
        <w:keepNext w:val="0"/>
        <w:keepLines w:val="0"/>
        <w:pageBreakBefore w:val="0"/>
        <w:widowControl w:val="0"/>
        <w:kinsoku/>
        <w:wordWrap/>
        <w:topLinePunct w:val="0"/>
        <w:autoSpaceDE/>
        <w:autoSpaceDN/>
        <w:bidi w:val="0"/>
        <w:adjustRightInd/>
        <w:snapToGrid/>
        <w:spacing w:line="560" w:lineRule="exact"/>
        <w:ind w:firstLine="608" w:firstLineChars="200"/>
        <w:textAlignment w:val="auto"/>
        <w:rPr>
          <w:rFonts w:hint="default" w:ascii="Times New Roman" w:hAnsi="Times New Roman" w:eastAsia="黑体" w:cs="Times New Roman"/>
          <w:color w:val="000000" w:themeColor="text1"/>
          <w:w w:val="95"/>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outlineLvl w:val="9"/>
        <w:rPr>
          <w:rFonts w:hint="default" w:ascii="Times New Roman" w:hAnsi="Times New Roman" w:eastAsia="黑体" w:cs="Times New Roman"/>
          <w:color w:val="000000" w:themeColor="text1"/>
          <w:w w:val="95"/>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w w:val="95"/>
          <w:sz w:val="32"/>
          <w:szCs w:val="32"/>
          <w:lang w:val="en-US" w:eastAsia="zh-CN"/>
          <w14:textFill>
            <w14:solidFill>
              <w14:schemeClr w14:val="tx1"/>
            </w14:solidFill>
          </w14:textFill>
        </w:rPr>
        <w:t>指标说明</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bidi="ar"/>
          <w14:textFill>
            <w14:solidFill>
              <w14:schemeClr w14:val="tx1"/>
            </w14:solidFill>
          </w14:textFill>
        </w:rPr>
        <w:t>1</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地区生产总值、规模以上工业增加值：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国经济已从高速增长向高质量发展转变，更加注重经济社会发展质态；地区生产总值由上级部门根据相关支撑指标统一核算反馈。我县地区生产总值、规模以上工业增加值一、二、三季度增幅均位居全市前三，预计全年仍保持全市前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bidi="ar"/>
          <w14:textFill>
            <w14:solidFill>
              <w14:schemeClr w14:val="tx1"/>
            </w14:solidFill>
          </w14:textFill>
        </w:rPr>
        <w:t>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社会消费品零售总额：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新冠疫情对我县餐饮业影响较大，导致该指标增速放缓。预计该指标完成情况位居全市前列。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规模以上固定资产投资、规模以上工业投资：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由于统计制度改革、统计口径调整，影响投资增幅；上级部门加强对该指标监管、核减，压减增速。预计该指标完成情况位居全市前列。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名词解释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1. “四包一”管理服务：</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街道（乡镇）、社区（村）、派出所民警、医务人员对返金人员进行隔离观察工作。</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2. “八个必须” “五个到位”“五个坚持”：</w:t>
      </w:r>
    </w:p>
    <w:p>
      <w:pPr>
        <w:pStyle w:val="2"/>
        <w:keepNext w:val="0"/>
        <w:keepLines w:val="0"/>
        <w:pageBreakBefore w:val="0"/>
        <w:widowControl w:val="0"/>
        <w:kinsoku/>
        <w:wordWrap/>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bidi="ar"/>
          <w14:textFill>
            <w14:solidFill>
              <w14:schemeClr w14:val="tx1"/>
            </w14:solidFill>
          </w14:textFill>
        </w:rPr>
        <w:t>八个必须：</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必须建立企业主要负责人牵头负责的企业疫情防控工作领导机构；必须制定企业疫情防控工作方案和复工生产实施方案；必须掌握每名职工的健康状态；必须掌握每名职工的节假日期间出行和参加集会聚会情况；必须排查确认职工节假日期间密切接触者中是否有重点疫区来源地人员；必须提前对厂区内公共场所、人员聚集场所的设施、设备进行消杀防疫；必须对原材物料储备情况进行盘点、研判保障连续生产的周期；必须对生产设施设备进行安全检查。</w:t>
      </w:r>
    </w:p>
    <w:p>
      <w:pPr>
        <w:pStyle w:val="2"/>
        <w:keepNext w:val="0"/>
        <w:keepLines w:val="0"/>
        <w:pageBreakBefore w:val="0"/>
        <w:widowControl w:val="0"/>
        <w:kinsoku/>
        <w:wordWrap/>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bidi="ar"/>
          <w14:textFill>
            <w14:solidFill>
              <w14:schemeClr w14:val="tx1"/>
            </w14:solidFill>
          </w14:textFill>
        </w:rPr>
        <w:t>五个到位：</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企业复工生产“八个必须”要到位；企业进出车辆、人员，登记、消杀防疫措施要到位；疫情防控标语张贴要到位；以车间、班组为单位的疫情防控知识宣讲要到位；企业、职工参与配合属地政府、社区（村）联防联控承诺要到位。</w:t>
      </w:r>
    </w:p>
    <w:p>
      <w:pPr>
        <w:pStyle w:val="2"/>
        <w:keepNext w:val="0"/>
        <w:keepLines w:val="0"/>
        <w:pageBreakBefore w:val="0"/>
        <w:widowControl w:val="0"/>
        <w:kinsoku/>
        <w:wordWrap/>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bidi="ar"/>
          <w14:textFill>
            <w14:solidFill>
              <w14:schemeClr w14:val="tx1"/>
            </w14:solidFill>
          </w14:textFill>
        </w:rPr>
        <w:t>五个坚持：</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坚持每日全体人员体温检测进厂；坚持每日全体人员戴口罩上班；坚持每日上班前、下班后消杀防疫；坚持每日进出车辆、人员登记、消杀防疫；坚持每日向属地政府、社区（村）报告情况。</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3. “三新”技术：新</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品种、新技术、新模式</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4. “三一零”企业开办模式：</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一窗受理、一表采集、一网通办、零收费</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bidi="ar"/>
          <w14:textFill>
            <w14:solidFill>
              <w14:schemeClr w14:val="tx1"/>
            </w14:solidFill>
          </w14:textFill>
        </w:rPr>
        <w:t>5</w:t>
      </w: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“两校一园”：</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中小学、幼儿园</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bidi="ar"/>
          <w14:textFill>
            <w14:solidFill>
              <w14:schemeClr w14:val="tx1"/>
            </w14:solidFill>
          </w14:textFill>
        </w:rPr>
        <w:t>6</w:t>
      </w: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“春雷行动”：</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农资打假专项行动</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bidi="ar"/>
          <w14:textFill>
            <w14:solidFill>
              <w14:schemeClr w14:val="tx1"/>
            </w14:solidFill>
          </w14:textFill>
        </w:rPr>
        <w:t>7</w:t>
      </w: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“三带两助”：</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让乡土人才发挥作用，带领技艺传承、带强产业发展、带动群众致富，助力脱贫攻坚、助推乡村振兴。</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bidi="ar"/>
          <w14:textFill>
            <w14:solidFill>
              <w14:schemeClr w14:val="tx1"/>
            </w14:solidFill>
          </w14:textFill>
        </w:rPr>
        <w:t>8</w:t>
      </w: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“点位长”制度：</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围绕重点区域、重点行业、重点企业，坚持属地负责、部门联动原则，由主要领导担任“点位长”，实现责任到点、责任到人。</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bidi="ar"/>
          <w14:textFill>
            <w14:solidFill>
              <w14:schemeClr w14:val="tx1"/>
            </w14:solidFill>
          </w14:textFill>
        </w:rPr>
        <w:t>9</w:t>
      </w: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“四个调整”：</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调整产业结构、调整能源结构、调整运输结构、调整用地结构。</w:t>
      </w:r>
    </w:p>
    <w:p>
      <w:pPr>
        <w:pStyle w:val="2"/>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1</w:t>
      </w:r>
      <w:r>
        <w:rPr>
          <w:rFonts w:hint="default" w:ascii="Times New Roman" w:hAnsi="Times New Roman" w:eastAsia="楷体_GB2312" w:cs="Times New Roman"/>
          <w:color w:val="000000" w:themeColor="text1"/>
          <w:kern w:val="0"/>
          <w:sz w:val="32"/>
          <w:szCs w:val="32"/>
          <w:lang w:eastAsia="zh-CN" w:bidi="ar"/>
          <w14:textFill>
            <w14:solidFill>
              <w14:schemeClr w14:val="tx1"/>
            </w14:solidFill>
          </w14:textFill>
        </w:rPr>
        <w:t>0</w:t>
      </w: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“双名”工程：</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培养</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文艺名家</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打造</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精品</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名</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作。</w:t>
      </w:r>
    </w:p>
    <w:p>
      <w:pPr>
        <w:keepNext w:val="0"/>
        <w:keepLines w:val="0"/>
        <w:pageBreakBefore w:val="0"/>
        <w:widowControl w:val="0"/>
        <w:kinsoku/>
        <w:wordWrap/>
        <w:topLinePunct w:val="0"/>
        <w:autoSpaceDE/>
        <w:autoSpaceDN/>
        <w:bidi w:val="0"/>
        <w:spacing w:line="560" w:lineRule="exact"/>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topLinePunct w:val="0"/>
        <w:autoSpaceDE/>
        <w:autoSpaceDN/>
        <w:bidi w:val="0"/>
        <w:spacing w:line="560" w:lineRule="exact"/>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topLinePunct w:val="0"/>
        <w:autoSpaceDE/>
        <w:autoSpaceDN/>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themeColor="text1"/>
          <w14:textFill>
            <w14:solidFill>
              <w14:schemeClr w14:val="tx1"/>
            </w14:solidFill>
          </w14:textFill>
        </w:rPr>
        <w:sectPr>
          <w:pgSz w:w="11906" w:h="16838"/>
          <w:pgMar w:top="2098" w:right="1587" w:bottom="1984" w:left="1587" w:header="851" w:footer="1417" w:gutter="0"/>
          <w:pgNumType w:fmt="numberInDash"/>
          <w:cols w:space="0" w:num="1"/>
          <w:docGrid w:type="lines" w:linePitch="323" w:charSpace="0"/>
        </w:sectPr>
      </w:pPr>
    </w:p>
    <w:p>
      <w:pPr>
        <w:keepNext w:val="0"/>
        <w:keepLines w:val="0"/>
        <w:pageBreakBefore w:val="0"/>
        <w:widowControl w:val="0"/>
        <w:kinsoku/>
        <w:wordWrap/>
        <w:topLinePunct w:val="0"/>
        <w:autoSpaceDE/>
        <w:autoSpaceDN/>
        <w:bidi w:val="0"/>
        <w:spacing w:line="560" w:lineRule="exact"/>
        <w:outlineLvl w:val="0"/>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default" w:ascii="Times New Roman" w:hAnsi="Times New Roman" w:eastAsia="方正小标宋简体" w:cs="Times New Roman"/>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default" w:ascii="Times New Roman" w:hAnsi="Times New Roman" w:eastAsia="方正小标宋简体" w:cs="Times New Roman"/>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72"/>
          <w:szCs w:val="72"/>
          <w:lang w:val="en-US" w:eastAsia="zh-CN"/>
        </w:rPr>
        <w:t>金湖县2021年县级投资计划（草案）</w:t>
      </w:r>
    </w:p>
    <w:p>
      <w:pPr>
        <w:keepNext w:val="0"/>
        <w:keepLines w:val="0"/>
        <w:pageBreakBefore w:val="0"/>
        <w:widowControl w:val="0"/>
        <w:kinsoku/>
        <w:wordWrap/>
        <w:topLinePunct w:val="0"/>
        <w:autoSpaceDE/>
        <w:autoSpaceDN/>
        <w:bidi w:val="0"/>
        <w:rPr>
          <w:rFonts w:hint="default" w:ascii="Times New Roman" w:hAnsi="Times New Roman" w:cs="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cs="Times New Roman"/>
          <w:color w:val="000000"/>
          <w:lang w:eastAsia="zh-CN"/>
        </w:rPr>
      </w:pPr>
    </w:p>
    <w:p>
      <w:pPr>
        <w:keepNext w:val="0"/>
        <w:keepLines w:val="0"/>
        <w:pageBreakBefore w:val="0"/>
        <w:widowControl w:val="0"/>
        <w:kinsoku/>
        <w:wordWrap/>
        <w:topLinePunct w:val="0"/>
        <w:autoSpaceDE/>
        <w:autoSpaceDN/>
        <w:bidi w:val="0"/>
        <w:rPr>
          <w:rFonts w:hint="default" w:ascii="Times New Roman" w:hAnsi="Times New Roman" w:cs="Times New Roman"/>
          <w:color w:val="000000"/>
          <w:lang w:eastAsia="zh-CN"/>
        </w:rPr>
      </w:pPr>
    </w:p>
    <w:p>
      <w:pPr>
        <w:keepNext w:val="0"/>
        <w:keepLines w:val="0"/>
        <w:pageBreakBefore w:val="0"/>
        <w:widowControl w:val="0"/>
        <w:kinsoku/>
        <w:wordWrap/>
        <w:topLinePunct w:val="0"/>
        <w:autoSpaceDE/>
        <w:autoSpaceDN/>
        <w:bidi w:val="0"/>
        <w:ind w:left="0" w:leftChars="0" w:right="0" w:rightChars="0" w:firstLine="0" w:firstLineChars="0"/>
        <w:jc w:val="center"/>
        <w:rPr>
          <w:rFonts w:hint="default" w:ascii="Times New Roman" w:hAnsi="Times New Roman" w:cs="Times New Roman"/>
          <w:color w:val="000000"/>
          <w:spacing w:val="20"/>
          <w:sz w:val="52"/>
          <w:szCs w:val="52"/>
          <w:lang w:eastAsia="zh-CN"/>
        </w:rPr>
      </w:pPr>
    </w:p>
    <w:p>
      <w:pPr>
        <w:pStyle w:val="2"/>
        <w:keepNext w:val="0"/>
        <w:keepLines w:val="0"/>
        <w:pageBreakBefore w:val="0"/>
        <w:widowControl w:val="0"/>
        <w:kinsoku/>
        <w:wordWrap/>
        <w:topLinePunct w:val="0"/>
        <w:autoSpaceDE/>
        <w:autoSpaceDN/>
        <w:bidi w:val="0"/>
        <w:rPr>
          <w:rFonts w:hint="default" w:ascii="Times New Roman" w:hAnsi="Times New Roman" w:cs="Times New Roman"/>
        </w:rPr>
      </w:pPr>
    </w:p>
    <w:p>
      <w:pPr>
        <w:keepNext w:val="0"/>
        <w:keepLines w:val="0"/>
        <w:pageBreakBefore w:val="0"/>
        <w:widowControl w:val="0"/>
        <w:kinsoku/>
        <w:wordWrap/>
        <w:topLinePunct w:val="0"/>
        <w:autoSpaceDE/>
        <w:autoSpaceDN/>
        <w:bidi w:val="0"/>
        <w:rPr>
          <w:rFonts w:hint="default" w:ascii="Times New Roman" w:hAnsi="Times New Roman" w:cs="Times New Roman"/>
        </w:rPr>
      </w:pPr>
    </w:p>
    <w:p>
      <w:pPr>
        <w:pStyle w:val="2"/>
        <w:keepNext w:val="0"/>
        <w:keepLines w:val="0"/>
        <w:pageBreakBefore w:val="0"/>
        <w:widowControl w:val="0"/>
        <w:kinsoku/>
        <w:wordWrap/>
        <w:topLinePunct w:val="0"/>
        <w:autoSpaceDE/>
        <w:autoSpaceDN/>
        <w:bidi w:val="0"/>
        <w:rPr>
          <w:rFonts w:hint="default" w:ascii="Times New Roman" w:hAnsi="Times New Roman" w:cs="Times New Roman"/>
        </w:rPr>
      </w:pPr>
    </w:p>
    <w:p>
      <w:pPr>
        <w:keepNext w:val="0"/>
        <w:keepLines w:val="0"/>
        <w:pageBreakBefore w:val="0"/>
        <w:widowControl w:val="0"/>
        <w:kinsoku/>
        <w:wordWrap/>
        <w:topLinePunct w:val="0"/>
        <w:autoSpaceDE/>
        <w:autoSpaceDN/>
        <w:bidi w:val="0"/>
        <w:rPr>
          <w:rFonts w:hint="default" w:ascii="Times New Roman" w:hAnsi="Times New Roman" w:cs="Times New Roman"/>
        </w:rPr>
      </w:pPr>
    </w:p>
    <w:p>
      <w:pPr>
        <w:pStyle w:val="2"/>
        <w:keepNext w:val="0"/>
        <w:keepLines w:val="0"/>
        <w:pageBreakBefore w:val="0"/>
        <w:widowControl w:val="0"/>
        <w:kinsoku/>
        <w:wordWrap/>
        <w:topLinePunct w:val="0"/>
        <w:autoSpaceDE/>
        <w:autoSpaceDN/>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158" w:afterLines="50" w:line="7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金湖县2021年县级政府投资计划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一</w:t>
      </w:r>
      <w:r>
        <w:rPr>
          <w:rFonts w:hint="default" w:ascii="Times New Roman" w:hAnsi="Times New Roman" w:eastAsia="方正小标宋简体" w:cs="Times New Roman"/>
          <w:sz w:val="44"/>
          <w:szCs w:val="44"/>
          <w:lang w:eastAsia="zh-CN"/>
        </w:rPr>
        <w:t>）</w:t>
      </w:r>
    </w:p>
    <w:tbl>
      <w:tblPr>
        <w:tblStyle w:val="15"/>
        <w:tblW w:w="14740" w:type="dxa"/>
        <w:jc w:val="center"/>
        <w:shd w:val="clear" w:color="auto" w:fill="auto"/>
        <w:tblLayout w:type="fixed"/>
        <w:tblCellMar>
          <w:top w:w="0" w:type="dxa"/>
          <w:left w:w="0" w:type="dxa"/>
          <w:bottom w:w="0" w:type="dxa"/>
          <w:right w:w="0" w:type="dxa"/>
        </w:tblCellMar>
      </w:tblPr>
      <w:tblGrid>
        <w:gridCol w:w="763"/>
        <w:gridCol w:w="443"/>
        <w:gridCol w:w="1306"/>
        <w:gridCol w:w="2271"/>
        <w:gridCol w:w="1350"/>
        <w:gridCol w:w="1123"/>
        <w:gridCol w:w="813"/>
        <w:gridCol w:w="836"/>
        <w:gridCol w:w="798"/>
        <w:gridCol w:w="735"/>
        <w:gridCol w:w="840"/>
        <w:gridCol w:w="855"/>
        <w:gridCol w:w="724"/>
        <w:gridCol w:w="1031"/>
        <w:gridCol w:w="852"/>
      </w:tblGrid>
      <w:tr>
        <w:tblPrEx>
          <w:shd w:val="clear" w:color="auto" w:fill="auto"/>
          <w:tblCellMar>
            <w:top w:w="0" w:type="dxa"/>
            <w:left w:w="0" w:type="dxa"/>
            <w:bottom w:w="0" w:type="dxa"/>
            <w:right w:w="0" w:type="dxa"/>
          </w:tblCellMar>
        </w:tblPrEx>
        <w:trPr>
          <w:cantSplit/>
          <w:trHeight w:val="454" w:hRule="atLeast"/>
          <w:tblHeader/>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类别</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序列</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项目名称</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建设内容及规模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项目地点</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建设起止</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年限</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总投资（万元）</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pacing w:val="-6"/>
                <w:kern w:val="0"/>
                <w:sz w:val="24"/>
                <w:szCs w:val="24"/>
                <w:u w:val="none"/>
                <w:lang w:val="en-US" w:eastAsia="zh-CN" w:bidi="ar"/>
              </w:rPr>
            </w:pPr>
            <w:r>
              <w:rPr>
                <w:rFonts w:hint="default" w:ascii="Times New Roman" w:hAnsi="Times New Roman" w:eastAsia="黑体" w:cs="Times New Roman"/>
                <w:b w:val="0"/>
                <w:bCs/>
                <w:i w:val="0"/>
                <w:color w:val="000000"/>
                <w:spacing w:val="-6"/>
                <w:kern w:val="0"/>
                <w:sz w:val="24"/>
                <w:szCs w:val="24"/>
                <w:u w:val="none"/>
                <w:lang w:val="en-US" w:eastAsia="zh-CN" w:bidi="ar"/>
              </w:rPr>
              <w:t>2021年计划投资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spacing w:val="-6"/>
                <w:kern w:val="0"/>
                <w:sz w:val="24"/>
                <w:szCs w:val="24"/>
                <w:u w:val="none"/>
                <w:lang w:val="en-US" w:eastAsia="zh-CN" w:bidi="ar"/>
              </w:rPr>
              <w:t>（万元）</w:t>
            </w:r>
          </w:p>
        </w:tc>
        <w:tc>
          <w:tcPr>
            <w:tcW w:w="2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其中：2021年计划付款</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（万元）</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2021年</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建设目标</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责任</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单位</w:t>
            </w:r>
          </w:p>
        </w:tc>
      </w:tr>
      <w:tr>
        <w:tblPrEx>
          <w:tblCellMar>
            <w:top w:w="0" w:type="dxa"/>
            <w:left w:w="0" w:type="dxa"/>
            <w:bottom w:w="0" w:type="dxa"/>
            <w:right w:w="0" w:type="dxa"/>
          </w:tblCellMar>
        </w:tblPrEx>
        <w:trPr>
          <w:cantSplit/>
          <w:trHeight w:val="454" w:hRule="atLeast"/>
          <w:tblHeader/>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合计</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其中：资金来源</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合计</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财政预算安排</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向上争取</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r>
      <w:tr>
        <w:tblPrEx>
          <w:tblCellMar>
            <w:top w:w="0" w:type="dxa"/>
            <w:left w:w="0" w:type="dxa"/>
            <w:bottom w:w="0" w:type="dxa"/>
            <w:right w:w="0" w:type="dxa"/>
          </w:tblCellMar>
        </w:tblPrEx>
        <w:trPr>
          <w:cantSplit/>
          <w:trHeight w:val="454" w:hRule="atLeast"/>
          <w:tblHeader/>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财政预算安排</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向上</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争取</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黑体" w:cs="Times New Roman"/>
                <w:b w:val="0"/>
                <w:bCs/>
                <w:i w:val="0"/>
                <w:color w:val="000000"/>
                <w:sz w:val="24"/>
                <w:szCs w:val="24"/>
                <w:u w:val="none"/>
              </w:rPr>
            </w:pPr>
          </w:p>
        </w:tc>
      </w:tr>
      <w:tr>
        <w:tblPrEx>
          <w:tblCellMar>
            <w:top w:w="0" w:type="dxa"/>
            <w:left w:w="0" w:type="dxa"/>
            <w:bottom w:w="0" w:type="dxa"/>
            <w:right w:w="0" w:type="dxa"/>
          </w:tblCellMar>
        </w:tblPrEx>
        <w:trPr>
          <w:cantSplit/>
          <w:trHeight w:val="454" w:hRule="atLeast"/>
          <w:jc w:val="center"/>
        </w:trPr>
        <w:tc>
          <w:tcPr>
            <w:tcW w:w="72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总计（17个）</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42365</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32425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9940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23065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17779</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12559</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5220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r>
      <w:tr>
        <w:tblPrEx>
          <w:shd w:val="clear" w:color="auto" w:fill="auto"/>
          <w:tblCellMar>
            <w:top w:w="0" w:type="dxa"/>
            <w:left w:w="0" w:type="dxa"/>
            <w:bottom w:w="0" w:type="dxa"/>
            <w:right w:w="0" w:type="dxa"/>
          </w:tblCellMar>
        </w:tblPrEx>
        <w:trPr>
          <w:cantSplit/>
          <w:trHeight w:val="5052" w:hRule="atLeast"/>
          <w:jc w:val="center"/>
        </w:trPr>
        <w:tc>
          <w:tcPr>
            <w:tcW w:w="7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一、</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水利</w:t>
            </w:r>
            <w:r>
              <w:rPr>
                <w:rFonts w:hint="default" w:ascii="Times New Roman" w:hAnsi="Times New Roman" w:eastAsia="楷体_GB2312" w:cs="Times New Roman"/>
                <w:b w:val="0"/>
                <w:bCs/>
                <w:i w:val="0"/>
                <w:color w:val="000000"/>
                <w:kern w:val="0"/>
                <w:sz w:val="24"/>
                <w:szCs w:val="24"/>
                <w:u w:val="none"/>
                <w:lang w:val="en-US" w:eastAsia="zh-CN" w:bidi="ar"/>
              </w:rPr>
              <w:br w:type="textWrapping"/>
            </w:r>
            <w:r>
              <w:rPr>
                <w:rFonts w:hint="default" w:ascii="Times New Roman" w:hAnsi="Times New Roman" w:eastAsia="楷体_GB2312" w:cs="Times New Roman"/>
                <w:b w:val="0"/>
                <w:bCs/>
                <w:i w:val="0"/>
                <w:color w:val="000000"/>
                <w:kern w:val="0"/>
                <w:sz w:val="24"/>
                <w:szCs w:val="24"/>
                <w:u w:val="none"/>
                <w:lang w:val="en-US" w:eastAsia="zh-CN" w:bidi="ar"/>
              </w:rPr>
              <w:t>（6个）</w:t>
            </w:r>
          </w:p>
        </w:tc>
        <w:tc>
          <w:tcPr>
            <w:tcW w:w="4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13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金湖县利农河灌区节水配套改造项目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整治整治骨干灌排渠道25条，长50.91km，其中建设生态护岸20.95km；新、拆建及维修加固泵站33座，其中新建4座、拆建25座、维修加固4座；拆建涵闸7座；灌溉水利用系数测算1项；管理设施1项（包括管理房1座和管理道路4处，总长5.9km）；信息化建设1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黎城街道、</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金南镇</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2022.12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9600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1920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7680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960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3840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整治渠道11条，长20.95km,岸坡防护长10.26km,泵站23座，涵闸2座，管理房1座。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水务局</w:t>
            </w:r>
          </w:p>
        </w:tc>
      </w:tr>
      <w:tr>
        <w:tblPrEx>
          <w:tblCellMar>
            <w:top w:w="0" w:type="dxa"/>
            <w:left w:w="0" w:type="dxa"/>
            <w:bottom w:w="0" w:type="dxa"/>
            <w:right w:w="0" w:type="dxa"/>
          </w:tblCellMar>
        </w:tblPrEx>
        <w:trPr>
          <w:cantSplit/>
          <w:trHeight w:val="3230" w:hRule="atLeast"/>
          <w:jc w:val="center"/>
        </w:trPr>
        <w:tc>
          <w:tcPr>
            <w:tcW w:w="76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一、</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水利</w:t>
            </w:r>
            <w:r>
              <w:rPr>
                <w:rFonts w:hint="default" w:ascii="Times New Roman" w:hAnsi="Times New Roman" w:eastAsia="楷体_GB2312" w:cs="Times New Roman"/>
                <w:b w:val="0"/>
                <w:bCs/>
                <w:i w:val="0"/>
                <w:color w:val="000000"/>
                <w:kern w:val="0"/>
                <w:sz w:val="24"/>
                <w:szCs w:val="24"/>
                <w:u w:val="none"/>
                <w:lang w:val="en-US" w:eastAsia="zh-CN" w:bidi="ar"/>
              </w:rPr>
              <w:br w:type="textWrapping"/>
            </w:r>
            <w:r>
              <w:rPr>
                <w:rFonts w:hint="default" w:ascii="Times New Roman" w:hAnsi="Times New Roman" w:eastAsia="楷体_GB2312" w:cs="Times New Roman"/>
                <w:b w:val="0"/>
                <w:bCs/>
                <w:i w:val="0"/>
                <w:color w:val="000000"/>
                <w:kern w:val="0"/>
                <w:sz w:val="24"/>
                <w:szCs w:val="24"/>
                <w:u w:val="none"/>
                <w:lang w:val="en-US" w:eastAsia="zh-CN" w:bidi="ar"/>
              </w:rPr>
              <w:t>（6个）</w:t>
            </w:r>
          </w:p>
        </w:tc>
        <w:tc>
          <w:tcPr>
            <w:tcW w:w="4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w:t>
            </w:r>
          </w:p>
        </w:tc>
        <w:tc>
          <w:tcPr>
            <w:tcW w:w="13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金湖县洪湖圩灌区节水配套改造项目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整治灌排两用河道5条，总长9.48km，其中建设生态护岸2.06km；新、拆建泵站工程10座，其中新建1座，拆建9座；新建涵闸工程2座；建设灌区信息化1项，灌溉水利用系数测定1项。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前锋镇</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2022.12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2200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440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1760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220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880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整治渠道3条，长5.61km；新、拆建泵站工程6座，涵闸2座。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水务局</w:t>
            </w:r>
          </w:p>
        </w:tc>
      </w:tr>
      <w:tr>
        <w:tblPrEx>
          <w:tblCellMar>
            <w:top w:w="0" w:type="dxa"/>
            <w:left w:w="0" w:type="dxa"/>
            <w:bottom w:w="0" w:type="dxa"/>
            <w:right w:w="0" w:type="dxa"/>
          </w:tblCellMar>
        </w:tblPrEx>
        <w:trPr>
          <w:cantSplit/>
          <w:trHeight w:val="139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金湖县2021年度农村生态河道建设工程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疏浚乡级河道16条，岸坡整治9.3km，疏浚土方34万立方米。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塔集镇</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水务局</w:t>
            </w:r>
          </w:p>
        </w:tc>
      </w:tr>
      <w:tr>
        <w:tblPrEx>
          <w:tblCellMar>
            <w:top w:w="0" w:type="dxa"/>
            <w:left w:w="0" w:type="dxa"/>
            <w:bottom w:w="0" w:type="dxa"/>
            <w:right w:w="0" w:type="dxa"/>
          </w:tblCellMar>
        </w:tblPrEx>
        <w:trPr>
          <w:cantSplit/>
          <w:trHeight w:val="102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老新建河引水线路优化工程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老新建河西侧至衡阳河新开引水河道及配套建筑物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黎城街道</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1150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1150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460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460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水务局</w:t>
            </w:r>
          </w:p>
        </w:tc>
      </w:tr>
      <w:tr>
        <w:tblPrEx>
          <w:tblCellMar>
            <w:top w:w="0" w:type="dxa"/>
            <w:left w:w="0" w:type="dxa"/>
            <w:bottom w:w="0" w:type="dxa"/>
            <w:right w:w="0" w:type="dxa"/>
          </w:tblCellMar>
        </w:tblPrEx>
        <w:trPr>
          <w:cantSplit/>
          <w:trHeight w:val="915" w:hRule="atLeast"/>
          <w:jc w:val="center"/>
        </w:trPr>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w:t>
            </w:r>
          </w:p>
        </w:tc>
        <w:tc>
          <w:tcPr>
            <w:tcW w:w="13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园林路暗涵活水工程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对园林路涵进行清淤及配套引水建筑物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黎城街道</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850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850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340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340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水务局</w:t>
            </w:r>
          </w:p>
        </w:tc>
      </w:tr>
      <w:tr>
        <w:tblPrEx>
          <w:tblCellMar>
            <w:top w:w="0" w:type="dxa"/>
            <w:left w:w="0" w:type="dxa"/>
            <w:bottom w:w="0" w:type="dxa"/>
            <w:right w:w="0" w:type="dxa"/>
          </w:tblCellMar>
        </w:tblPrEx>
        <w:trPr>
          <w:cantSplit/>
          <w:trHeight w:val="2044" w:hRule="atLeast"/>
          <w:jc w:val="center"/>
        </w:trPr>
        <w:tc>
          <w:tcPr>
            <w:tcW w:w="7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一、</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水利</w:t>
            </w:r>
            <w:r>
              <w:rPr>
                <w:rFonts w:hint="default" w:ascii="Times New Roman" w:hAnsi="Times New Roman" w:eastAsia="楷体_GB2312" w:cs="Times New Roman"/>
                <w:b w:val="0"/>
                <w:bCs/>
                <w:i w:val="0"/>
                <w:color w:val="000000"/>
                <w:kern w:val="0"/>
                <w:sz w:val="24"/>
                <w:szCs w:val="24"/>
                <w:u w:val="none"/>
                <w:lang w:val="en-US" w:eastAsia="zh-CN" w:bidi="ar"/>
              </w:rPr>
              <w:br w:type="textWrapping"/>
            </w:r>
            <w:r>
              <w:rPr>
                <w:rFonts w:hint="default" w:ascii="Times New Roman" w:hAnsi="Times New Roman" w:eastAsia="楷体_GB2312" w:cs="Times New Roman"/>
                <w:b w:val="0"/>
                <w:bCs/>
                <w:i w:val="0"/>
                <w:color w:val="000000"/>
                <w:kern w:val="0"/>
                <w:sz w:val="24"/>
                <w:szCs w:val="24"/>
                <w:u w:val="none"/>
                <w:lang w:val="en-US" w:eastAsia="zh-CN" w:bidi="ar"/>
              </w:rPr>
              <w:t>（6个）</w:t>
            </w:r>
          </w:p>
        </w:tc>
        <w:tc>
          <w:tcPr>
            <w:tcW w:w="4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w:t>
            </w:r>
          </w:p>
        </w:tc>
        <w:tc>
          <w:tcPr>
            <w:tcW w:w="13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金湖县城区河道常态化清淤工程（利东河等）</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对利东河等相关城区河道进行疏浚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黎城街道</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250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水务局</w:t>
            </w:r>
          </w:p>
        </w:tc>
      </w:tr>
      <w:tr>
        <w:tblPrEx>
          <w:tblCellMar>
            <w:top w:w="0" w:type="dxa"/>
            <w:left w:w="0" w:type="dxa"/>
            <w:bottom w:w="0" w:type="dxa"/>
            <w:right w:w="0" w:type="dxa"/>
          </w:tblCellMar>
        </w:tblPrEx>
        <w:trPr>
          <w:cantSplit/>
          <w:trHeight w:val="1912"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二、</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市政</w:t>
            </w:r>
            <w:r>
              <w:rPr>
                <w:rFonts w:hint="default" w:ascii="Times New Roman" w:hAnsi="Times New Roman" w:eastAsia="楷体_GB2312" w:cs="Times New Roman"/>
                <w:b w:val="0"/>
                <w:bCs/>
                <w:i w:val="0"/>
                <w:color w:val="000000"/>
                <w:kern w:val="0"/>
                <w:sz w:val="24"/>
                <w:szCs w:val="24"/>
                <w:u w:val="none"/>
                <w:lang w:val="en-US" w:eastAsia="zh-CN" w:bidi="ar"/>
              </w:rPr>
              <w:br w:type="textWrapping"/>
            </w:r>
            <w:r>
              <w:rPr>
                <w:rFonts w:hint="default" w:ascii="Times New Roman" w:hAnsi="Times New Roman" w:eastAsia="楷体_GB2312" w:cs="Times New Roman"/>
                <w:b w:val="0"/>
                <w:bCs/>
                <w:i w:val="0"/>
                <w:color w:val="000000"/>
                <w:kern w:val="0"/>
                <w:sz w:val="24"/>
                <w:szCs w:val="24"/>
                <w:u w:val="none"/>
                <w:lang w:val="en-US" w:eastAsia="zh-CN" w:bidi="ar"/>
              </w:rPr>
              <w:t>（5个）</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市政道路交通安全设施建设工程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新增信号灯4处，改造交通路口1处，新增标志标线等交通安全设施。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同泰大道与工园路路口、理士大道与建设西路路口</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2020.12-</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420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420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280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280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2653" w:hRule="atLeast"/>
          <w:jc w:val="center"/>
        </w:trPr>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w:t>
            </w:r>
          </w:p>
        </w:tc>
        <w:tc>
          <w:tcPr>
            <w:tcW w:w="13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开发区工一路透水混凝土路面改造工程设计施工总承包（EPC）</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路面结构采用无机透水混凝土改造路面（含部分原道路修补、排水系统维修、路缘石）。东到衡阳河，西环城西路，全长1030米，宽7米。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开发区</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工一路</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2020.12-</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485</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485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194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194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76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二、</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市政</w:t>
            </w:r>
            <w:r>
              <w:rPr>
                <w:rFonts w:hint="default" w:ascii="Times New Roman" w:hAnsi="Times New Roman" w:eastAsia="楷体_GB2312" w:cs="Times New Roman"/>
                <w:b w:val="0"/>
                <w:bCs/>
                <w:i w:val="0"/>
                <w:color w:val="000000"/>
                <w:kern w:val="0"/>
                <w:sz w:val="24"/>
                <w:szCs w:val="24"/>
                <w:u w:val="none"/>
                <w:lang w:val="en-US" w:eastAsia="zh-CN" w:bidi="ar"/>
              </w:rPr>
              <w:br w:type="textWrapping"/>
            </w:r>
            <w:r>
              <w:rPr>
                <w:rFonts w:hint="default" w:ascii="Times New Roman" w:hAnsi="Times New Roman" w:eastAsia="楷体_GB2312" w:cs="Times New Roman"/>
                <w:b w:val="0"/>
                <w:bCs/>
                <w:i w:val="0"/>
                <w:color w:val="000000"/>
                <w:kern w:val="0"/>
                <w:sz w:val="24"/>
                <w:szCs w:val="24"/>
                <w:u w:val="none"/>
                <w:lang w:val="en-US" w:eastAsia="zh-CN" w:bidi="ar"/>
              </w:rPr>
              <w:t>（5个）</w:t>
            </w:r>
          </w:p>
        </w:tc>
        <w:tc>
          <w:tcPr>
            <w:tcW w:w="4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w:t>
            </w:r>
          </w:p>
        </w:tc>
        <w:tc>
          <w:tcPr>
            <w:tcW w:w="13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黎城路（金湖路-</w:t>
            </w:r>
            <w:r>
              <w:rPr>
                <w:rStyle w:val="41"/>
                <w:rFonts w:hint="default" w:ascii="Times New Roman" w:hAnsi="Times New Roman" w:eastAsia="仿宋_GB2312" w:cs="Times New Roman"/>
                <w:b w:val="0"/>
                <w:bCs/>
                <w:sz w:val="24"/>
                <w:szCs w:val="24"/>
                <w:lang w:val="en-US" w:eastAsia="zh-CN" w:bidi="ar"/>
              </w:rPr>
              <w:t>健康路）道路黑色化改造及雨、污水管道项目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长度880米，宽度24米，建设面积21120平方米，其中车行道14米，人行道各5米，雨污水管道。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金湖路-</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健康路</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2020.10-</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454" w:hRule="atLeast"/>
          <w:jc w:val="center"/>
        </w:trPr>
        <w:tc>
          <w:tcPr>
            <w:tcW w:w="7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13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城区公园、游园广场基础设施维修改造工程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园内喷泉，公园监控，木制品油漆维修，园路、广场铺装维修出新、管理用房维修等，面积约两万平方米。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尧帝公园内木制品景观、利农河人行景观桥木制栏杆及栈桥、起点公园人行景观桥木制栏杆及栈桥等</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2021.04-</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490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490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490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454" w:hRule="atLeast"/>
          <w:jc w:val="center"/>
        </w:trPr>
        <w:tc>
          <w:tcPr>
            <w:tcW w:w="7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楷体_GB2312" w:cs="Times New Roman"/>
                <w:b w:val="0"/>
                <w:bCs/>
                <w:i w:val="0"/>
                <w:color w:val="000000"/>
                <w:sz w:val="24"/>
                <w:szCs w:val="24"/>
                <w:u w:val="none"/>
              </w:rPr>
            </w:pPr>
          </w:p>
        </w:tc>
        <w:tc>
          <w:tcPr>
            <w:tcW w:w="4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w:t>
            </w:r>
          </w:p>
        </w:tc>
        <w:tc>
          <w:tcPr>
            <w:tcW w:w="13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荷花广场维修改造工程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spacing w:val="-6"/>
                <w:kern w:val="0"/>
                <w:sz w:val="24"/>
                <w:szCs w:val="24"/>
                <w:u w:val="none"/>
                <w:lang w:val="en-US" w:eastAsia="zh-CN" w:bidi="ar"/>
              </w:rPr>
              <w:t>现状花坛挡墙拆除重建，大理石景墙雕刻诗词文化，荷花建筑物防水、内外装饰，广场沉降段换填加固、大理石铺装翻新</w:t>
            </w:r>
            <w:r>
              <w:rPr>
                <w:rFonts w:hint="eastAsia" w:ascii="Times New Roman" w:hAnsi="Times New Roman" w:eastAsia="仿宋_GB2312" w:cs="Times New Roman"/>
                <w:b w:val="0"/>
                <w:bCs/>
                <w:i w:val="0"/>
                <w:color w:val="000000"/>
                <w:spacing w:val="-6"/>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荷花广场</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2021.04-</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2021.10</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130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130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1688" w:hRule="atLeast"/>
          <w:jc w:val="center"/>
        </w:trPr>
        <w:tc>
          <w:tcPr>
            <w:tcW w:w="7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三、</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社会</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事业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（5个）</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县公共卫生服务中心项目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集疾控、卫监、健康促进、血吸虫病防治、“120”急救调度室等于一体，建筑面积10000平方米</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建设西路与环城西路交叉处</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2022.06</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6000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6000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完成</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主体工程</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卫健委</w:t>
            </w:r>
          </w:p>
        </w:tc>
      </w:tr>
      <w:tr>
        <w:tblPrEx>
          <w:tblCellMar>
            <w:top w:w="0" w:type="dxa"/>
            <w:left w:w="0" w:type="dxa"/>
            <w:bottom w:w="0" w:type="dxa"/>
            <w:right w:w="0" w:type="dxa"/>
          </w:tblCellMar>
        </w:tblPrEx>
        <w:trPr>
          <w:cantSplit/>
          <w:trHeight w:val="3037" w:hRule="atLeast"/>
          <w:jc w:val="center"/>
        </w:trPr>
        <w:tc>
          <w:tcPr>
            <w:tcW w:w="7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县博物馆新建项目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按照博物馆评估定级要求，结合周边市县相关文化场馆建设体量，初步计划建设博物馆0.75万平方米，经领导现场会办及规划部门沟通，拟选址地点位于清河东路南侧、利农河西侧。</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清河东路南侧、利农河西侧,上古文化园东侧。</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2023.12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9800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9800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建筑主体开工建设</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文广旅</w:t>
            </w:r>
          </w:p>
        </w:tc>
      </w:tr>
      <w:tr>
        <w:tblPrEx>
          <w:tblCellMar>
            <w:top w:w="0" w:type="dxa"/>
            <w:left w:w="0" w:type="dxa"/>
            <w:bottom w:w="0" w:type="dxa"/>
            <w:right w:w="0" w:type="dxa"/>
          </w:tblCellMar>
        </w:tblPrEx>
        <w:trPr>
          <w:cantSplit/>
          <w:trHeight w:val="727" w:hRule="atLeast"/>
          <w:jc w:val="center"/>
        </w:trPr>
        <w:tc>
          <w:tcPr>
            <w:tcW w:w="7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2021年校安工程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相关学校的维修改造等</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相关学校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2021.07-</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完工</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教体局</w:t>
            </w:r>
          </w:p>
        </w:tc>
      </w:tr>
      <w:tr>
        <w:tblPrEx>
          <w:tblCellMar>
            <w:top w:w="0" w:type="dxa"/>
            <w:left w:w="0" w:type="dxa"/>
            <w:bottom w:w="0" w:type="dxa"/>
            <w:right w:w="0" w:type="dxa"/>
          </w:tblCellMar>
        </w:tblPrEx>
        <w:trPr>
          <w:cantSplit/>
          <w:trHeight w:val="1078" w:hRule="atLeast"/>
          <w:jc w:val="center"/>
        </w:trPr>
        <w:tc>
          <w:tcPr>
            <w:tcW w:w="7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楷体_GB2312" w:cs="Times New Roman"/>
                <w:b w:val="0"/>
                <w:bCs/>
                <w:i w:val="0"/>
                <w:color w:val="000000"/>
                <w:sz w:val="24"/>
                <w:szCs w:val="24"/>
                <w:u w:val="none"/>
              </w:rPr>
            </w:pPr>
          </w:p>
        </w:tc>
        <w:tc>
          <w:tcPr>
            <w:tcW w:w="4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w:t>
            </w:r>
          </w:p>
        </w:tc>
        <w:tc>
          <w:tcPr>
            <w:tcW w:w="13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金湖中专重建教学楼项目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原址重建四层教学楼，建筑面积约6200平方米。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金湖中专</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2021.07-</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2022.07</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2400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2400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完成</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主体工程</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教体局</w:t>
            </w:r>
          </w:p>
        </w:tc>
      </w:tr>
      <w:tr>
        <w:tblPrEx>
          <w:tblCellMar>
            <w:top w:w="0" w:type="dxa"/>
            <w:left w:w="0" w:type="dxa"/>
            <w:bottom w:w="0" w:type="dxa"/>
            <w:right w:w="0" w:type="dxa"/>
          </w:tblCellMar>
        </w:tblPrEx>
        <w:trPr>
          <w:cantSplit/>
          <w:trHeight w:val="2521" w:hRule="atLeast"/>
          <w:jc w:val="center"/>
        </w:trPr>
        <w:tc>
          <w:tcPr>
            <w:tcW w:w="7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三、</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社会</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事业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楷体_GB2312" w:cs="Times New Roman"/>
                <w:b w:val="0"/>
                <w:bCs/>
                <w:i w:val="0"/>
                <w:color w:val="000000"/>
                <w:kern w:val="2"/>
                <w:sz w:val="24"/>
                <w:szCs w:val="24"/>
                <w:u w:val="none"/>
                <w:lang w:val="en-US" w:eastAsia="zh-CN" w:bidi="ar-SA"/>
              </w:rPr>
            </w:pPr>
            <w:r>
              <w:rPr>
                <w:rFonts w:hint="default" w:ascii="Times New Roman" w:hAnsi="Times New Roman" w:eastAsia="楷体_GB2312" w:cs="Times New Roman"/>
                <w:b w:val="0"/>
                <w:bCs/>
                <w:i w:val="0"/>
                <w:color w:val="000000"/>
                <w:kern w:val="0"/>
                <w:sz w:val="24"/>
                <w:szCs w:val="24"/>
                <w:u w:val="none"/>
                <w:lang w:val="en-US" w:eastAsia="zh-CN" w:bidi="ar"/>
              </w:rPr>
              <w:t>（5个）</w:t>
            </w:r>
          </w:p>
        </w:tc>
        <w:tc>
          <w:tcPr>
            <w:tcW w:w="4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16</w:t>
            </w:r>
          </w:p>
        </w:tc>
        <w:tc>
          <w:tcPr>
            <w:tcW w:w="13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金湖县消防救援大队指挥中心改造工程</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对原有房间改造装潢，采购音视频会议系统及配套设施、指挥中心LED显示系统及配套设施、机房机柜及网络等相关设备。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金湖县消防救援大队</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2021.01-</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45</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left"/>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消防救援大队</w:t>
            </w:r>
          </w:p>
        </w:tc>
      </w:tr>
      <w:tr>
        <w:tblPrEx>
          <w:tblCellMar>
            <w:top w:w="0" w:type="dxa"/>
            <w:left w:w="0" w:type="dxa"/>
            <w:bottom w:w="0" w:type="dxa"/>
            <w:right w:w="0" w:type="dxa"/>
          </w:tblCellMar>
        </w:tblPrEx>
        <w:trPr>
          <w:cantSplit/>
          <w:trHeight w:val="149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四、</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民生</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楷体_GB2312" w:cs="Times New Roman"/>
                <w:b w:val="0"/>
                <w:bCs/>
                <w:i w:val="0"/>
                <w:color w:val="000000"/>
                <w:kern w:val="0"/>
                <w:sz w:val="24"/>
                <w:szCs w:val="24"/>
                <w:u w:val="none"/>
                <w:lang w:val="en-US" w:eastAsia="zh-CN" w:bidi="ar"/>
              </w:rPr>
            </w:pPr>
            <w:r>
              <w:rPr>
                <w:rFonts w:hint="default" w:ascii="Times New Roman" w:hAnsi="Times New Roman" w:eastAsia="楷体_GB2312" w:cs="Times New Roman"/>
                <w:b w:val="0"/>
                <w:bCs/>
                <w:i w:val="0"/>
                <w:color w:val="000000"/>
                <w:kern w:val="0"/>
                <w:sz w:val="24"/>
                <w:szCs w:val="24"/>
                <w:u w:val="none"/>
                <w:lang w:val="en-US" w:eastAsia="zh-CN" w:bidi="ar"/>
              </w:rPr>
              <w:t>保障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楷体_GB2312" w:cs="Times New Roman"/>
                <w:b w:val="0"/>
                <w:bCs/>
                <w:i w:val="0"/>
                <w:color w:val="000000"/>
                <w:sz w:val="24"/>
                <w:szCs w:val="24"/>
                <w:u w:val="none"/>
              </w:rPr>
            </w:pPr>
            <w:r>
              <w:rPr>
                <w:rFonts w:hint="default" w:ascii="Times New Roman" w:hAnsi="Times New Roman" w:eastAsia="楷体_GB2312" w:cs="Times New Roman"/>
                <w:b w:val="0"/>
                <w:bCs/>
                <w:i w:val="0"/>
                <w:color w:val="000000"/>
                <w:kern w:val="0"/>
                <w:sz w:val="24"/>
                <w:szCs w:val="24"/>
                <w:u w:val="none"/>
                <w:lang w:val="en-US" w:eastAsia="zh-CN" w:bidi="ar"/>
              </w:rPr>
              <w:t>（1个）</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老旧小区改造项目</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暂定16个小区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二厂宿舍、团结巷等</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2021.03-</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1280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1280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bl>
    <w:p>
      <w:pPr>
        <w:pStyle w:val="2"/>
        <w:keepNext w:val="0"/>
        <w:keepLines w:val="0"/>
        <w:pageBreakBefore w:val="0"/>
        <w:widowControl w:val="0"/>
        <w:kinsoku/>
        <w:wordWrap/>
        <w:topLinePunct w:val="0"/>
        <w:autoSpaceDE/>
        <w:autoSpaceDN/>
        <w:bidi w:val="0"/>
        <w:rPr>
          <w:rFonts w:hint="default" w:ascii="Times New Roman" w:hAnsi="Times New Roman" w:cs="Times New Roman"/>
          <w:sz w:val="32"/>
          <w:szCs w:val="32"/>
        </w:rPr>
      </w:pPr>
    </w:p>
    <w:p>
      <w:pPr>
        <w:keepNext w:val="0"/>
        <w:keepLines w:val="0"/>
        <w:pageBreakBefore w:val="0"/>
        <w:widowControl w:val="0"/>
        <w:kinsoku/>
        <w:wordWrap/>
        <w:topLinePunct w:val="0"/>
        <w:autoSpaceDE/>
        <w:autoSpaceDN/>
        <w:bidi w:val="0"/>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rPr>
      </w:pPr>
    </w:p>
    <w:p>
      <w:pPr>
        <w:pStyle w:val="2"/>
        <w:keepNext w:val="0"/>
        <w:keepLines w:val="0"/>
        <w:pageBreakBefore w:val="0"/>
        <w:widowControl w:val="0"/>
        <w:kinsoku/>
        <w:wordWrap/>
        <w:topLinePunct w:val="0"/>
        <w:autoSpaceDE/>
        <w:autoSpaceDN/>
        <w:bidi w:val="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金湖县2021年县级国有投资公司投资计划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二</w:t>
      </w:r>
      <w:r>
        <w:rPr>
          <w:rFonts w:hint="default" w:ascii="Times New Roman" w:hAnsi="Times New Roman" w:eastAsia="方正小标宋简体" w:cs="Times New Roman"/>
          <w:sz w:val="44"/>
          <w:szCs w:val="44"/>
          <w:lang w:eastAsia="zh-CN"/>
        </w:rPr>
        <w:t>）</w:t>
      </w:r>
    </w:p>
    <w:tbl>
      <w:tblPr>
        <w:tblStyle w:val="15"/>
        <w:tblW w:w="14740" w:type="dxa"/>
        <w:jc w:val="center"/>
        <w:shd w:val="clear" w:color="auto" w:fill="auto"/>
        <w:tblLayout w:type="autofit"/>
        <w:tblCellMar>
          <w:top w:w="0" w:type="dxa"/>
          <w:left w:w="0" w:type="dxa"/>
          <w:bottom w:w="0" w:type="dxa"/>
          <w:right w:w="0" w:type="dxa"/>
        </w:tblCellMar>
      </w:tblPr>
      <w:tblGrid>
        <w:gridCol w:w="562"/>
        <w:gridCol w:w="1651"/>
        <w:gridCol w:w="3645"/>
        <w:gridCol w:w="1642"/>
        <w:gridCol w:w="1620"/>
        <w:gridCol w:w="1159"/>
        <w:gridCol w:w="1444"/>
        <w:gridCol w:w="1357"/>
        <w:gridCol w:w="834"/>
        <w:gridCol w:w="826"/>
      </w:tblGrid>
      <w:tr>
        <w:tblPrEx>
          <w:tblCellMar>
            <w:top w:w="0" w:type="dxa"/>
            <w:left w:w="0" w:type="dxa"/>
            <w:bottom w:w="0" w:type="dxa"/>
            <w:right w:w="0" w:type="dxa"/>
          </w:tblCellMar>
        </w:tblPrEx>
        <w:trPr>
          <w:cantSplit/>
          <w:trHeight w:val="454" w:hRule="atLeast"/>
          <w:tblHeade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建设内容及规模</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项目地点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建设起止</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年限</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总投资</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（万元）</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其中：2021年</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计划投资</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2021年</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建设目标</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责任</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黑体" w:cs="Times New Roman"/>
                <w:b w:val="0"/>
                <w:bCs/>
                <w:i w:val="0"/>
                <w:color w:val="000000"/>
                <w:kern w:val="2"/>
                <w:sz w:val="24"/>
                <w:szCs w:val="24"/>
                <w:u w:val="none"/>
                <w:lang w:val="en-US" w:eastAsia="zh-CN" w:bidi="ar-SA"/>
              </w:rPr>
            </w:pPr>
            <w:r>
              <w:rPr>
                <w:rFonts w:hint="default" w:ascii="Times New Roman" w:hAnsi="Times New Roman" w:eastAsia="黑体" w:cs="Times New Roman"/>
                <w:b w:val="0"/>
                <w:bCs/>
                <w:i w:val="0"/>
                <w:color w:val="000000"/>
                <w:kern w:val="0"/>
                <w:sz w:val="24"/>
                <w:szCs w:val="24"/>
                <w:u w:val="none"/>
                <w:lang w:val="en-US" w:eastAsia="zh-CN" w:bidi="ar"/>
              </w:rPr>
              <w:t>主管</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部门</w:t>
            </w:r>
          </w:p>
        </w:tc>
      </w:tr>
      <w:tr>
        <w:tblPrEx>
          <w:tblCellMar>
            <w:top w:w="0" w:type="dxa"/>
            <w:left w:w="0" w:type="dxa"/>
            <w:bottom w:w="0" w:type="dxa"/>
            <w:right w:w="0" w:type="dxa"/>
          </w:tblCellMar>
        </w:tblPrEx>
        <w:trPr>
          <w:cantSplit/>
          <w:trHeight w:val="454" w:hRule="atLeast"/>
          <w:jc w:val="center"/>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合计（14个）</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372896</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112546</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topLinePunct w:val="0"/>
              <w:autoSpaceDE/>
              <w:autoSpaceDN/>
              <w:bidi w:val="0"/>
              <w:spacing w:line="240" w:lineRule="auto"/>
              <w:jc w:val="center"/>
              <w:rPr>
                <w:rFonts w:hint="default" w:ascii="Times New Roman" w:hAnsi="Times New Roman" w:eastAsia="仿宋_GB2312" w:cs="Times New Roman"/>
                <w:b w:val="0"/>
                <w:bCs/>
                <w:i w:val="0"/>
                <w:color w:val="000000"/>
                <w:sz w:val="24"/>
                <w:szCs w:val="24"/>
                <w:u w:val="none"/>
              </w:rPr>
            </w:pP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陈桥交通综合服务中心项目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停车场、公共厕所、小卖部、室外休息区、第三卫生间、管理用房、机具车库、室内休息室等。项目占地面积约33459平方米，总建筑面积3000平方米。</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247省道与420省道交叉口的西南角</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2023.12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8500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4300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开工建设</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交投</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交通局</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荷花荡景区核心景点提升工程项目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景区增加二道门禁、紫藤长廊北延600米，并对荷文化体验馆、水草世界和百莲园等核心景点进行提升。</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荷花荡景区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尧乡</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荷花荡景区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金湖县第二水厂建设项目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水源取水工程、净水厂工程、配水管道工程、取水泵房、沉淀池、V型滤池、清水池、生物活性炭滤池、后臭氧接触池等。</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待定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2022.12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65000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规划论证</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前期手续</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国资</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西海产业园自来水配套工程</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西海产业园环湖路及支路自来水主管网配套工程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西海产业园环湖路、A路、理士大道</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2021.06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金鑫</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台资产业园配套设施建设一期工程</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新建台资产业园内台中路808米，配套建设雨污水管网、绿化及路灯以及新建道路征地赔青等。</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原工农村八组庄台路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2021.06-</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2022.06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完成雨污管网，完成道路工程的70%</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金鑫</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清河路东延（黎城路-利农河）道路及雨、污水管道、绿化、亮化、供水项目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长度580米，宽度28米，建设面积16240平方米，其中车行道18米，人行道各5米，雨污水管道、绿化、亮化、供水。</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清河路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国资</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金湖县城市污水处理提质增效项目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空白区全覆盖工程：铺设昌盛路污水管网700米，铺设船塘路污水管网600米；合流制排水系统改造工程：合流制区域（神华大道以北、新港路以南、黎城路以西、衡阳路以东）污水管网改造4141米；污水泵站新建、改造工程：新建污水提升泵站两座（利东河路泵站、环城西路泵站），规模为0.92万吨/日；改造污水提升泵站三座（宋坝桥泵站、新建东路泵站、淮金线泵站），改造规模为10.8万吨；GIS系统工程：建立排水管网GIS系统；污水分区优化工程：污水分区（衡阳路以西，淮金线以东，金宝南线以北，金湖路以南）优化，铺设污水管网3926米。</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金湖老城区、</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城南片区等</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2021.03-</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2022.12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完成1/4工程量</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国资</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银都花苑项目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总建筑面积2.27万平方米，其中住宅1.16万平方米；公寓及商业1.07万平方米。</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银涂镇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2021.05-</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2023.05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开工建设，主体工程全部完成</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水投</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金北片区道路管网和水系景观等基础设施配套工程EPC项目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总面积约6.6平方公里，包含河道9条，市政道路19条(含道路沿线铺设雨水、污水、给水、天然气、通信、电力等地埋管道)，道路沿线路灯，桥梁14座; 以及河道、道路沿线绿化景观。</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金北镇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2023.12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250000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81000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水系绿化预计投资1.2亿</w:t>
            </w:r>
            <w:r>
              <w:rPr>
                <w:rFonts w:hint="eastAsia" w:ascii="Times New Roman" w:hAnsi="Times New Roman" w:eastAsia="仿宋_GB2312"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新建道路及配套设施6.9亿。</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水投</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人大办</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安牧乳业厂房改造装修项目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对原厂房进行改造装修以及扩建办公楼、厂房、配套设施等。</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开发区建康西</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路与八四大道交叉口东北角</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3500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3500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金鑫</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江苏源启生物科技有限公司厂房代建项目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占地约73亩，代建钢结构厂房约22000平方米。</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金湖县经济开发区，东至东联路，南至建设西路，西至双楼路，北至上湾路</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金鑫</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工业物联网智能装备（智能仪表）计量中心项目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建设省工业物联网装备计量中心实验室及建立相关智能仪表的国家型式评价中心和省螺纹量规中心迁建升级。</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金湖县经济开发区，东至东联路，南至建设西路，西至双楼路，北至上湾路</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2022.12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实验室土地和基础设施建设</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金鑫</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县公共卫生服务中心装修项目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主楼装修实验室、化验室、办公室等；地下设备用房包括停车场；辅助用房包括库房等，以及污水处理等附属设施。</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建设西路与环城西路交叉处</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2000</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金鑫</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开发区</w:t>
            </w:r>
          </w:p>
        </w:tc>
      </w:tr>
      <w:tr>
        <w:tblPrEx>
          <w:tblCellMar>
            <w:top w:w="0" w:type="dxa"/>
            <w:left w:w="0" w:type="dxa"/>
            <w:bottom w:w="0" w:type="dxa"/>
            <w:right w:w="0" w:type="dxa"/>
          </w:tblCellMar>
        </w:tblPrEx>
        <w:trPr>
          <w:cantSplit/>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智慧金湖二期（城市大脑）公安110联动指挥中心</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left"/>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一个共建的“四区”多功能大空间指挥中心，约800平；一块合用的“三超”4K曲面展示屏，139.66平、一张融合的“三汇”全覆盖数据网、一座扩容的“五有”集中存储大数据库，含机房226平，一套指令性的“三层”脑中枢，一款全能的“一站”大金湖APP。</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金湖县城南公安大厦三楼</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2021.01-</w:t>
            </w:r>
            <w:r>
              <w:rPr>
                <w:rFonts w:hint="default" w:ascii="Times New Roman" w:hAnsi="Times New Roman" w:eastAsia="仿宋_GB2312" w:cs="Times New Roman"/>
                <w:b w:val="0"/>
                <w:bCs/>
                <w:i w:val="0"/>
                <w:color w:val="000000"/>
                <w:kern w:val="0"/>
                <w:sz w:val="24"/>
                <w:szCs w:val="24"/>
                <w:u w:val="none"/>
                <w:lang w:val="en-US" w:eastAsia="zh-CN" w:bidi="ar"/>
              </w:rPr>
              <w:br w:type="textWrapping"/>
            </w:r>
            <w:r>
              <w:rPr>
                <w:rFonts w:hint="default" w:ascii="Times New Roman" w:hAnsi="Times New Roman" w:eastAsia="仿宋_GB2312" w:cs="Times New Roman"/>
                <w:b w:val="0"/>
                <w:bCs/>
                <w:i w:val="0"/>
                <w:color w:val="000000"/>
                <w:kern w:val="0"/>
                <w:sz w:val="24"/>
                <w:szCs w:val="24"/>
                <w:u w:val="none"/>
                <w:lang w:val="en-US" w:eastAsia="zh-CN" w:bidi="ar"/>
              </w:rPr>
              <w:t>2021.06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2296</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2296</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完成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国资</w:t>
            </w:r>
          </w:p>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公司</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topLinePunct w:val="0"/>
              <w:autoSpaceDE/>
              <w:autoSpaceDN/>
              <w:bidi w:val="0"/>
              <w:spacing w:line="240" w:lineRule="auto"/>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住建局</w:t>
            </w:r>
          </w:p>
        </w:tc>
      </w:tr>
    </w:tbl>
    <w:p>
      <w:pPr>
        <w:keepNext w:val="0"/>
        <w:keepLines w:val="0"/>
        <w:pageBreakBefore w:val="0"/>
        <w:widowControl w:val="0"/>
        <w:kinsoku/>
        <w:wordWrap/>
        <w:topLinePunct w:val="0"/>
        <w:autoSpaceDE/>
        <w:autoSpaceDN/>
        <w:bidi w:val="0"/>
        <w:rPr>
          <w:rFonts w:hint="default" w:ascii="Times New Roman" w:hAnsi="Times New Roman" w:cs="Times New Roman"/>
          <w:sz w:val="32"/>
          <w:szCs w:val="32"/>
        </w:rPr>
      </w:pPr>
    </w:p>
    <w:p>
      <w:pPr>
        <w:pStyle w:val="2"/>
        <w:keepNext w:val="0"/>
        <w:keepLines w:val="0"/>
        <w:pageBreakBefore w:val="0"/>
        <w:widowControl w:val="0"/>
        <w:kinsoku/>
        <w:wordWrap/>
        <w:topLinePunct w:val="0"/>
        <w:autoSpaceDE/>
        <w:autoSpaceDN/>
        <w:bidi w:val="0"/>
        <w:rPr>
          <w:rFonts w:hint="default" w:ascii="Times New Roman" w:hAnsi="Times New Roman" w:cs="Times New Roman"/>
          <w:sz w:val="32"/>
          <w:szCs w:val="32"/>
        </w:rPr>
      </w:pPr>
      <w:bookmarkStart w:id="3" w:name="_GoBack"/>
      <w:bookmarkEnd w:id="3"/>
    </w:p>
    <w:p>
      <w:pPr>
        <w:keepNext w:val="0"/>
        <w:keepLines w:val="0"/>
        <w:pageBreakBefore w:val="0"/>
        <w:widowControl w:val="0"/>
        <w:kinsoku/>
        <w:wordWrap/>
        <w:topLinePunct w:val="0"/>
        <w:autoSpaceDE/>
        <w:autoSpaceDN/>
        <w:bidi w:val="0"/>
        <w:rPr>
          <w:rFonts w:hint="default" w:ascii="Times New Roman" w:hAnsi="Times New Roman" w:cs="Times New Roman"/>
          <w:sz w:val="32"/>
          <w:szCs w:val="32"/>
        </w:rPr>
      </w:pPr>
    </w:p>
    <w:p>
      <w:pPr>
        <w:pStyle w:val="2"/>
        <w:keepNext w:val="0"/>
        <w:keepLines w:val="0"/>
        <w:pageBreakBefore w:val="0"/>
        <w:widowControl w:val="0"/>
        <w:kinsoku/>
        <w:wordWrap/>
        <w:topLinePunct w:val="0"/>
        <w:autoSpaceDE/>
        <w:autoSpaceDN/>
        <w:bidi w:val="0"/>
        <w:rPr>
          <w:rFonts w:hint="default" w:ascii="Times New Roman" w:hAnsi="Times New Roman" w:cs="Times New Roman"/>
          <w:sz w:val="32"/>
          <w:szCs w:val="32"/>
        </w:rPr>
      </w:pPr>
    </w:p>
    <w:p>
      <w:pPr>
        <w:keepNext w:val="0"/>
        <w:keepLines w:val="0"/>
        <w:pageBreakBefore w:val="0"/>
        <w:widowControl w:val="0"/>
        <w:kinsoku/>
        <w:wordWrap/>
        <w:topLinePunct w:val="0"/>
        <w:autoSpaceDE/>
        <w:autoSpaceDN/>
        <w:bidi w:val="0"/>
        <w:rPr>
          <w:rFonts w:hint="default" w:ascii="Times New Roman" w:hAnsi="Times New Roman" w:cs="Times New Roman"/>
        </w:rPr>
      </w:pPr>
    </w:p>
    <w:sectPr>
      <w:pgSz w:w="16783" w:h="11850" w:orient="landscape"/>
      <w:pgMar w:top="1587" w:right="1587" w:bottom="1587" w:left="1587" w:header="851" w:footer="1417"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decorative"/>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5516"/>
    <w:rsid w:val="00010208"/>
    <w:rsid w:val="0001633A"/>
    <w:rsid w:val="00017B6C"/>
    <w:rsid w:val="00027161"/>
    <w:rsid w:val="00036D79"/>
    <w:rsid w:val="0003769A"/>
    <w:rsid w:val="00037EBE"/>
    <w:rsid w:val="00042A47"/>
    <w:rsid w:val="00046AE2"/>
    <w:rsid w:val="000510A7"/>
    <w:rsid w:val="00052788"/>
    <w:rsid w:val="000652DD"/>
    <w:rsid w:val="000653A3"/>
    <w:rsid w:val="000654CC"/>
    <w:rsid w:val="0008598A"/>
    <w:rsid w:val="000B02B0"/>
    <w:rsid w:val="000B4CB3"/>
    <w:rsid w:val="000C0156"/>
    <w:rsid w:val="000C4E76"/>
    <w:rsid w:val="000D021F"/>
    <w:rsid w:val="000F5AB1"/>
    <w:rsid w:val="000F6767"/>
    <w:rsid w:val="0010350A"/>
    <w:rsid w:val="00103BE6"/>
    <w:rsid w:val="00123323"/>
    <w:rsid w:val="001245CC"/>
    <w:rsid w:val="0012728D"/>
    <w:rsid w:val="00132096"/>
    <w:rsid w:val="00133960"/>
    <w:rsid w:val="00134275"/>
    <w:rsid w:val="001346BE"/>
    <w:rsid w:val="00147F62"/>
    <w:rsid w:val="00154070"/>
    <w:rsid w:val="0016181D"/>
    <w:rsid w:val="00162021"/>
    <w:rsid w:val="00165F83"/>
    <w:rsid w:val="00172A12"/>
    <w:rsid w:val="00187959"/>
    <w:rsid w:val="00194D44"/>
    <w:rsid w:val="001A1B80"/>
    <w:rsid w:val="001A6CE8"/>
    <w:rsid w:val="001C1C18"/>
    <w:rsid w:val="001C35AF"/>
    <w:rsid w:val="001C3ABA"/>
    <w:rsid w:val="001C5F35"/>
    <w:rsid w:val="001C7527"/>
    <w:rsid w:val="001C7A93"/>
    <w:rsid w:val="001D1431"/>
    <w:rsid w:val="001D438E"/>
    <w:rsid w:val="001D7D6F"/>
    <w:rsid w:val="001E08EB"/>
    <w:rsid w:val="001E16DA"/>
    <w:rsid w:val="001E1970"/>
    <w:rsid w:val="001E6CC7"/>
    <w:rsid w:val="001F29CD"/>
    <w:rsid w:val="001F4CC8"/>
    <w:rsid w:val="001F5531"/>
    <w:rsid w:val="00200E5E"/>
    <w:rsid w:val="002105B0"/>
    <w:rsid w:val="002219F3"/>
    <w:rsid w:val="00224012"/>
    <w:rsid w:val="002279CA"/>
    <w:rsid w:val="0023175D"/>
    <w:rsid w:val="00231F4D"/>
    <w:rsid w:val="00234803"/>
    <w:rsid w:val="00234FD7"/>
    <w:rsid w:val="0023511A"/>
    <w:rsid w:val="002402BF"/>
    <w:rsid w:val="00244150"/>
    <w:rsid w:val="00244DA7"/>
    <w:rsid w:val="00245791"/>
    <w:rsid w:val="00256F20"/>
    <w:rsid w:val="0025738C"/>
    <w:rsid w:val="0026384F"/>
    <w:rsid w:val="00265969"/>
    <w:rsid w:val="00270A15"/>
    <w:rsid w:val="002803FD"/>
    <w:rsid w:val="00287DC4"/>
    <w:rsid w:val="002943F2"/>
    <w:rsid w:val="0029723E"/>
    <w:rsid w:val="002A120B"/>
    <w:rsid w:val="002A7DAD"/>
    <w:rsid w:val="002B09D1"/>
    <w:rsid w:val="002B0D55"/>
    <w:rsid w:val="002B18FA"/>
    <w:rsid w:val="002B60C9"/>
    <w:rsid w:val="002B71C5"/>
    <w:rsid w:val="002C1577"/>
    <w:rsid w:val="002C205D"/>
    <w:rsid w:val="002D5669"/>
    <w:rsid w:val="002E029E"/>
    <w:rsid w:val="002E2301"/>
    <w:rsid w:val="002E52C3"/>
    <w:rsid w:val="002E571D"/>
    <w:rsid w:val="002F3FC5"/>
    <w:rsid w:val="002F4A15"/>
    <w:rsid w:val="00315BCC"/>
    <w:rsid w:val="003242CA"/>
    <w:rsid w:val="0033180E"/>
    <w:rsid w:val="00341814"/>
    <w:rsid w:val="00347DCD"/>
    <w:rsid w:val="00354315"/>
    <w:rsid w:val="00355802"/>
    <w:rsid w:val="00363B1E"/>
    <w:rsid w:val="003711D2"/>
    <w:rsid w:val="00371A98"/>
    <w:rsid w:val="00376331"/>
    <w:rsid w:val="0038164D"/>
    <w:rsid w:val="00384750"/>
    <w:rsid w:val="00387343"/>
    <w:rsid w:val="003948FE"/>
    <w:rsid w:val="00395D02"/>
    <w:rsid w:val="00396399"/>
    <w:rsid w:val="003A0F45"/>
    <w:rsid w:val="003A4394"/>
    <w:rsid w:val="003C2E3E"/>
    <w:rsid w:val="003C3FEB"/>
    <w:rsid w:val="003C720B"/>
    <w:rsid w:val="003D3994"/>
    <w:rsid w:val="003E60A0"/>
    <w:rsid w:val="003F0C20"/>
    <w:rsid w:val="003F3CA5"/>
    <w:rsid w:val="003F47A0"/>
    <w:rsid w:val="003F48D0"/>
    <w:rsid w:val="0040423D"/>
    <w:rsid w:val="00423AD3"/>
    <w:rsid w:val="004356BD"/>
    <w:rsid w:val="00435D3D"/>
    <w:rsid w:val="00444383"/>
    <w:rsid w:val="0045079F"/>
    <w:rsid w:val="004704C0"/>
    <w:rsid w:val="00471219"/>
    <w:rsid w:val="00493464"/>
    <w:rsid w:val="004953E6"/>
    <w:rsid w:val="00496F26"/>
    <w:rsid w:val="004A7FB3"/>
    <w:rsid w:val="004B120C"/>
    <w:rsid w:val="004B21D5"/>
    <w:rsid w:val="004C771B"/>
    <w:rsid w:val="004C7754"/>
    <w:rsid w:val="004D4B39"/>
    <w:rsid w:val="004E316F"/>
    <w:rsid w:val="005000D3"/>
    <w:rsid w:val="0051314C"/>
    <w:rsid w:val="00517B39"/>
    <w:rsid w:val="00524B72"/>
    <w:rsid w:val="00527864"/>
    <w:rsid w:val="0053356F"/>
    <w:rsid w:val="00545B4E"/>
    <w:rsid w:val="0055163E"/>
    <w:rsid w:val="005528C8"/>
    <w:rsid w:val="005563C3"/>
    <w:rsid w:val="005777A8"/>
    <w:rsid w:val="00581195"/>
    <w:rsid w:val="0058584D"/>
    <w:rsid w:val="00597359"/>
    <w:rsid w:val="00597D8F"/>
    <w:rsid w:val="005A25B6"/>
    <w:rsid w:val="005A4B8E"/>
    <w:rsid w:val="005D3211"/>
    <w:rsid w:val="005D7659"/>
    <w:rsid w:val="005E0278"/>
    <w:rsid w:val="005E670D"/>
    <w:rsid w:val="005E6BF5"/>
    <w:rsid w:val="005F0B6B"/>
    <w:rsid w:val="005F7893"/>
    <w:rsid w:val="00600C7E"/>
    <w:rsid w:val="006111DA"/>
    <w:rsid w:val="00613371"/>
    <w:rsid w:val="006141B4"/>
    <w:rsid w:val="00616405"/>
    <w:rsid w:val="00633F33"/>
    <w:rsid w:val="006348A6"/>
    <w:rsid w:val="00646412"/>
    <w:rsid w:val="00662E43"/>
    <w:rsid w:val="006639DA"/>
    <w:rsid w:val="0066564A"/>
    <w:rsid w:val="006728AD"/>
    <w:rsid w:val="00677566"/>
    <w:rsid w:val="00681673"/>
    <w:rsid w:val="00696FF9"/>
    <w:rsid w:val="006A136E"/>
    <w:rsid w:val="006C0115"/>
    <w:rsid w:val="006C37E4"/>
    <w:rsid w:val="006E5827"/>
    <w:rsid w:val="006E743E"/>
    <w:rsid w:val="006F50A0"/>
    <w:rsid w:val="00700DC5"/>
    <w:rsid w:val="007032D2"/>
    <w:rsid w:val="00703DE8"/>
    <w:rsid w:val="00703DE9"/>
    <w:rsid w:val="0070712C"/>
    <w:rsid w:val="0071102A"/>
    <w:rsid w:val="0071618D"/>
    <w:rsid w:val="007165E8"/>
    <w:rsid w:val="00724833"/>
    <w:rsid w:val="00730117"/>
    <w:rsid w:val="00742984"/>
    <w:rsid w:val="0074379C"/>
    <w:rsid w:val="007477AB"/>
    <w:rsid w:val="007514C9"/>
    <w:rsid w:val="00751F9C"/>
    <w:rsid w:val="00757BF1"/>
    <w:rsid w:val="007656D3"/>
    <w:rsid w:val="007717A6"/>
    <w:rsid w:val="00774D8D"/>
    <w:rsid w:val="00782BB7"/>
    <w:rsid w:val="00796C6D"/>
    <w:rsid w:val="007A5436"/>
    <w:rsid w:val="007B5474"/>
    <w:rsid w:val="007C0CEE"/>
    <w:rsid w:val="007C26EC"/>
    <w:rsid w:val="007C6964"/>
    <w:rsid w:val="007E47A1"/>
    <w:rsid w:val="007F1FFB"/>
    <w:rsid w:val="007F2BBE"/>
    <w:rsid w:val="0080064F"/>
    <w:rsid w:val="008028FD"/>
    <w:rsid w:val="008039E4"/>
    <w:rsid w:val="00814043"/>
    <w:rsid w:val="00824E4C"/>
    <w:rsid w:val="00826291"/>
    <w:rsid w:val="00834A5F"/>
    <w:rsid w:val="00834BBA"/>
    <w:rsid w:val="00850844"/>
    <w:rsid w:val="008561B0"/>
    <w:rsid w:val="008577BA"/>
    <w:rsid w:val="0086055F"/>
    <w:rsid w:val="00862E39"/>
    <w:rsid w:val="00870D66"/>
    <w:rsid w:val="008802E0"/>
    <w:rsid w:val="00881F7B"/>
    <w:rsid w:val="00884B7D"/>
    <w:rsid w:val="008866C2"/>
    <w:rsid w:val="008A1E27"/>
    <w:rsid w:val="008B2C43"/>
    <w:rsid w:val="008C4BE5"/>
    <w:rsid w:val="008D022D"/>
    <w:rsid w:val="008E5848"/>
    <w:rsid w:val="008F61F9"/>
    <w:rsid w:val="00904BCC"/>
    <w:rsid w:val="00904D61"/>
    <w:rsid w:val="0092119C"/>
    <w:rsid w:val="00924199"/>
    <w:rsid w:val="00931B0E"/>
    <w:rsid w:val="00941032"/>
    <w:rsid w:val="00945443"/>
    <w:rsid w:val="009455E4"/>
    <w:rsid w:val="00947189"/>
    <w:rsid w:val="00953D2D"/>
    <w:rsid w:val="00960364"/>
    <w:rsid w:val="009610B2"/>
    <w:rsid w:val="00962BC6"/>
    <w:rsid w:val="00974BF3"/>
    <w:rsid w:val="00987D0C"/>
    <w:rsid w:val="009968AE"/>
    <w:rsid w:val="009A316D"/>
    <w:rsid w:val="009B2540"/>
    <w:rsid w:val="009C3D04"/>
    <w:rsid w:val="009C4CB5"/>
    <w:rsid w:val="009C7DD4"/>
    <w:rsid w:val="009D13DA"/>
    <w:rsid w:val="009D3857"/>
    <w:rsid w:val="009D3E1B"/>
    <w:rsid w:val="009E1426"/>
    <w:rsid w:val="009E4C45"/>
    <w:rsid w:val="009F06CE"/>
    <w:rsid w:val="009F2551"/>
    <w:rsid w:val="00A0436D"/>
    <w:rsid w:val="00A10A64"/>
    <w:rsid w:val="00A209CC"/>
    <w:rsid w:val="00A24098"/>
    <w:rsid w:val="00A277B4"/>
    <w:rsid w:val="00A36046"/>
    <w:rsid w:val="00A4062B"/>
    <w:rsid w:val="00A45630"/>
    <w:rsid w:val="00A47A20"/>
    <w:rsid w:val="00A5313A"/>
    <w:rsid w:val="00A5527A"/>
    <w:rsid w:val="00A57754"/>
    <w:rsid w:val="00A64E62"/>
    <w:rsid w:val="00A70483"/>
    <w:rsid w:val="00A9056C"/>
    <w:rsid w:val="00A93DD9"/>
    <w:rsid w:val="00A942E7"/>
    <w:rsid w:val="00A96FD1"/>
    <w:rsid w:val="00AA77B6"/>
    <w:rsid w:val="00AB2441"/>
    <w:rsid w:val="00AB6B74"/>
    <w:rsid w:val="00AC21C5"/>
    <w:rsid w:val="00AC2BD7"/>
    <w:rsid w:val="00AC2DBF"/>
    <w:rsid w:val="00AC4353"/>
    <w:rsid w:val="00AC6A92"/>
    <w:rsid w:val="00AC763B"/>
    <w:rsid w:val="00AC774B"/>
    <w:rsid w:val="00AD0271"/>
    <w:rsid w:val="00AD02B3"/>
    <w:rsid w:val="00AD2F58"/>
    <w:rsid w:val="00AD3779"/>
    <w:rsid w:val="00AD3B21"/>
    <w:rsid w:val="00AF5523"/>
    <w:rsid w:val="00AF570B"/>
    <w:rsid w:val="00AF75DF"/>
    <w:rsid w:val="00B16BD1"/>
    <w:rsid w:val="00B17583"/>
    <w:rsid w:val="00B26E20"/>
    <w:rsid w:val="00B34A23"/>
    <w:rsid w:val="00B3647B"/>
    <w:rsid w:val="00B60247"/>
    <w:rsid w:val="00B80D6A"/>
    <w:rsid w:val="00B82466"/>
    <w:rsid w:val="00B95923"/>
    <w:rsid w:val="00BA64E3"/>
    <w:rsid w:val="00BA6CC9"/>
    <w:rsid w:val="00BA7099"/>
    <w:rsid w:val="00BB0438"/>
    <w:rsid w:val="00BB40F2"/>
    <w:rsid w:val="00BB5A28"/>
    <w:rsid w:val="00BD3841"/>
    <w:rsid w:val="00BF1D58"/>
    <w:rsid w:val="00BF3490"/>
    <w:rsid w:val="00BF460D"/>
    <w:rsid w:val="00BF559A"/>
    <w:rsid w:val="00C0083B"/>
    <w:rsid w:val="00C038A4"/>
    <w:rsid w:val="00C046C6"/>
    <w:rsid w:val="00C16DBE"/>
    <w:rsid w:val="00C17556"/>
    <w:rsid w:val="00C2446F"/>
    <w:rsid w:val="00C3369C"/>
    <w:rsid w:val="00C40447"/>
    <w:rsid w:val="00C437CD"/>
    <w:rsid w:val="00C50ED9"/>
    <w:rsid w:val="00C560FC"/>
    <w:rsid w:val="00C62643"/>
    <w:rsid w:val="00C706C6"/>
    <w:rsid w:val="00C71269"/>
    <w:rsid w:val="00C7453A"/>
    <w:rsid w:val="00C97F2B"/>
    <w:rsid w:val="00CA24D1"/>
    <w:rsid w:val="00CA33E4"/>
    <w:rsid w:val="00CA6394"/>
    <w:rsid w:val="00CD26D2"/>
    <w:rsid w:val="00CD4213"/>
    <w:rsid w:val="00CD68A1"/>
    <w:rsid w:val="00CD6F7F"/>
    <w:rsid w:val="00CE0C58"/>
    <w:rsid w:val="00CE53FC"/>
    <w:rsid w:val="00CE6132"/>
    <w:rsid w:val="00CE7E81"/>
    <w:rsid w:val="00CF05BE"/>
    <w:rsid w:val="00CF49DE"/>
    <w:rsid w:val="00D0451F"/>
    <w:rsid w:val="00D103DC"/>
    <w:rsid w:val="00D15FB5"/>
    <w:rsid w:val="00D162A6"/>
    <w:rsid w:val="00D346CE"/>
    <w:rsid w:val="00D349C7"/>
    <w:rsid w:val="00D4768C"/>
    <w:rsid w:val="00D50172"/>
    <w:rsid w:val="00D571DE"/>
    <w:rsid w:val="00D604BE"/>
    <w:rsid w:val="00D62475"/>
    <w:rsid w:val="00D6756D"/>
    <w:rsid w:val="00D80B7C"/>
    <w:rsid w:val="00D80BA6"/>
    <w:rsid w:val="00D850EA"/>
    <w:rsid w:val="00D87A4C"/>
    <w:rsid w:val="00D92E9F"/>
    <w:rsid w:val="00D93C33"/>
    <w:rsid w:val="00DA64B3"/>
    <w:rsid w:val="00DD2CDD"/>
    <w:rsid w:val="00DE611C"/>
    <w:rsid w:val="00DE6C4B"/>
    <w:rsid w:val="00DF56AD"/>
    <w:rsid w:val="00DF5EDA"/>
    <w:rsid w:val="00E007AC"/>
    <w:rsid w:val="00E24222"/>
    <w:rsid w:val="00E256EA"/>
    <w:rsid w:val="00E37B90"/>
    <w:rsid w:val="00E41630"/>
    <w:rsid w:val="00E42C73"/>
    <w:rsid w:val="00E43E3C"/>
    <w:rsid w:val="00E45F07"/>
    <w:rsid w:val="00E52C60"/>
    <w:rsid w:val="00E56F66"/>
    <w:rsid w:val="00E6048D"/>
    <w:rsid w:val="00E6274D"/>
    <w:rsid w:val="00E6436E"/>
    <w:rsid w:val="00E65AFE"/>
    <w:rsid w:val="00E672DE"/>
    <w:rsid w:val="00E754C6"/>
    <w:rsid w:val="00E7565D"/>
    <w:rsid w:val="00E77C0B"/>
    <w:rsid w:val="00E834E3"/>
    <w:rsid w:val="00E90F89"/>
    <w:rsid w:val="00EC7228"/>
    <w:rsid w:val="00ED18D7"/>
    <w:rsid w:val="00ED375B"/>
    <w:rsid w:val="00EE5BBE"/>
    <w:rsid w:val="00EF23C1"/>
    <w:rsid w:val="00F05959"/>
    <w:rsid w:val="00F1077E"/>
    <w:rsid w:val="00F12EAB"/>
    <w:rsid w:val="00F13CBF"/>
    <w:rsid w:val="00F14348"/>
    <w:rsid w:val="00F15C55"/>
    <w:rsid w:val="00F17BC4"/>
    <w:rsid w:val="00F2054A"/>
    <w:rsid w:val="00F21E1A"/>
    <w:rsid w:val="00F21F5E"/>
    <w:rsid w:val="00F230CA"/>
    <w:rsid w:val="00F25588"/>
    <w:rsid w:val="00F34E30"/>
    <w:rsid w:val="00F35C79"/>
    <w:rsid w:val="00F35E77"/>
    <w:rsid w:val="00F36C44"/>
    <w:rsid w:val="00F45120"/>
    <w:rsid w:val="00F5285B"/>
    <w:rsid w:val="00F62172"/>
    <w:rsid w:val="00F66176"/>
    <w:rsid w:val="00F77C81"/>
    <w:rsid w:val="00F80AC5"/>
    <w:rsid w:val="00F83CCA"/>
    <w:rsid w:val="00F8463B"/>
    <w:rsid w:val="00F8649D"/>
    <w:rsid w:val="00F93AC2"/>
    <w:rsid w:val="00F9583F"/>
    <w:rsid w:val="00FA22B2"/>
    <w:rsid w:val="00FA2BA3"/>
    <w:rsid w:val="00FA5C1B"/>
    <w:rsid w:val="00FB6019"/>
    <w:rsid w:val="00FB6D6B"/>
    <w:rsid w:val="00FC31A6"/>
    <w:rsid w:val="00FD5072"/>
    <w:rsid w:val="00FF6829"/>
    <w:rsid w:val="00FF7944"/>
    <w:rsid w:val="01011084"/>
    <w:rsid w:val="01172485"/>
    <w:rsid w:val="0152302F"/>
    <w:rsid w:val="017D5939"/>
    <w:rsid w:val="01DA6D18"/>
    <w:rsid w:val="021E6866"/>
    <w:rsid w:val="022604C0"/>
    <w:rsid w:val="02B61BC7"/>
    <w:rsid w:val="02E51AA0"/>
    <w:rsid w:val="03105445"/>
    <w:rsid w:val="031A3B17"/>
    <w:rsid w:val="038B0F46"/>
    <w:rsid w:val="039132F0"/>
    <w:rsid w:val="03D13F16"/>
    <w:rsid w:val="041D288B"/>
    <w:rsid w:val="04923B7A"/>
    <w:rsid w:val="04A65882"/>
    <w:rsid w:val="04C21D20"/>
    <w:rsid w:val="0501443D"/>
    <w:rsid w:val="057A6F0E"/>
    <w:rsid w:val="05990103"/>
    <w:rsid w:val="05AE177D"/>
    <w:rsid w:val="05B27052"/>
    <w:rsid w:val="06515BC4"/>
    <w:rsid w:val="06AF33C8"/>
    <w:rsid w:val="06DE1A58"/>
    <w:rsid w:val="06F34C50"/>
    <w:rsid w:val="07080B43"/>
    <w:rsid w:val="070948A9"/>
    <w:rsid w:val="071229CA"/>
    <w:rsid w:val="072516E8"/>
    <w:rsid w:val="074A0A3F"/>
    <w:rsid w:val="07623954"/>
    <w:rsid w:val="0780261A"/>
    <w:rsid w:val="07A61BD3"/>
    <w:rsid w:val="07B940BD"/>
    <w:rsid w:val="07C04444"/>
    <w:rsid w:val="07FF7B2E"/>
    <w:rsid w:val="08041A13"/>
    <w:rsid w:val="08065AC5"/>
    <w:rsid w:val="080F6641"/>
    <w:rsid w:val="086C3A5F"/>
    <w:rsid w:val="08D122A6"/>
    <w:rsid w:val="08DE7E59"/>
    <w:rsid w:val="090016C3"/>
    <w:rsid w:val="099C3769"/>
    <w:rsid w:val="09BE206F"/>
    <w:rsid w:val="09D31F5D"/>
    <w:rsid w:val="0A195ED4"/>
    <w:rsid w:val="0A3D7307"/>
    <w:rsid w:val="0A9A2E23"/>
    <w:rsid w:val="0AAE3760"/>
    <w:rsid w:val="0AEC6CAF"/>
    <w:rsid w:val="0B142416"/>
    <w:rsid w:val="0B251568"/>
    <w:rsid w:val="0B2D796B"/>
    <w:rsid w:val="0B4826F7"/>
    <w:rsid w:val="0B4B618B"/>
    <w:rsid w:val="0B941472"/>
    <w:rsid w:val="0B9D6CAC"/>
    <w:rsid w:val="0BAB5619"/>
    <w:rsid w:val="0BDA376D"/>
    <w:rsid w:val="0C081CAF"/>
    <w:rsid w:val="0C44495E"/>
    <w:rsid w:val="0C450A43"/>
    <w:rsid w:val="0C902A1E"/>
    <w:rsid w:val="0CB85220"/>
    <w:rsid w:val="0D131F0E"/>
    <w:rsid w:val="0D145C85"/>
    <w:rsid w:val="0D390706"/>
    <w:rsid w:val="0D3C0CC1"/>
    <w:rsid w:val="0D5064F7"/>
    <w:rsid w:val="0D5E6A1F"/>
    <w:rsid w:val="0D710B7D"/>
    <w:rsid w:val="0D79502C"/>
    <w:rsid w:val="0DA26A4B"/>
    <w:rsid w:val="0DE71A47"/>
    <w:rsid w:val="0DF40115"/>
    <w:rsid w:val="0E2E3B9B"/>
    <w:rsid w:val="0E461F25"/>
    <w:rsid w:val="0E9150E3"/>
    <w:rsid w:val="0EA55069"/>
    <w:rsid w:val="0EB8176A"/>
    <w:rsid w:val="0F096030"/>
    <w:rsid w:val="0F2A4C6A"/>
    <w:rsid w:val="0F2D3F63"/>
    <w:rsid w:val="0F3C5B0F"/>
    <w:rsid w:val="0F55158D"/>
    <w:rsid w:val="0F5B6AD4"/>
    <w:rsid w:val="0F807D75"/>
    <w:rsid w:val="0F9B025F"/>
    <w:rsid w:val="0FB117CD"/>
    <w:rsid w:val="10190D05"/>
    <w:rsid w:val="101C52EE"/>
    <w:rsid w:val="104B15E0"/>
    <w:rsid w:val="106B638E"/>
    <w:rsid w:val="10A02BE2"/>
    <w:rsid w:val="10E32C14"/>
    <w:rsid w:val="10F238D8"/>
    <w:rsid w:val="10F94C90"/>
    <w:rsid w:val="11422108"/>
    <w:rsid w:val="114F6E7A"/>
    <w:rsid w:val="117620FD"/>
    <w:rsid w:val="118E237A"/>
    <w:rsid w:val="11E71595"/>
    <w:rsid w:val="11E846D2"/>
    <w:rsid w:val="11EF553B"/>
    <w:rsid w:val="12023E58"/>
    <w:rsid w:val="12044C8B"/>
    <w:rsid w:val="120B0D77"/>
    <w:rsid w:val="12244DA5"/>
    <w:rsid w:val="12471F14"/>
    <w:rsid w:val="124D435C"/>
    <w:rsid w:val="126A5C6B"/>
    <w:rsid w:val="127740D0"/>
    <w:rsid w:val="12D8656F"/>
    <w:rsid w:val="130C4D3F"/>
    <w:rsid w:val="131733ED"/>
    <w:rsid w:val="132F2A62"/>
    <w:rsid w:val="1397466F"/>
    <w:rsid w:val="13D05874"/>
    <w:rsid w:val="13D26C4D"/>
    <w:rsid w:val="13E03843"/>
    <w:rsid w:val="141474A5"/>
    <w:rsid w:val="141B3580"/>
    <w:rsid w:val="14290A6E"/>
    <w:rsid w:val="14433597"/>
    <w:rsid w:val="14685413"/>
    <w:rsid w:val="147B0FDC"/>
    <w:rsid w:val="14D341D2"/>
    <w:rsid w:val="14F93CCB"/>
    <w:rsid w:val="15243450"/>
    <w:rsid w:val="152A28AA"/>
    <w:rsid w:val="15451683"/>
    <w:rsid w:val="157B2AEC"/>
    <w:rsid w:val="15CD64AF"/>
    <w:rsid w:val="168E7950"/>
    <w:rsid w:val="16AE6E32"/>
    <w:rsid w:val="1704105F"/>
    <w:rsid w:val="173758AF"/>
    <w:rsid w:val="1742425E"/>
    <w:rsid w:val="17A72DD9"/>
    <w:rsid w:val="183E2989"/>
    <w:rsid w:val="18773642"/>
    <w:rsid w:val="18965376"/>
    <w:rsid w:val="19011428"/>
    <w:rsid w:val="19031ADB"/>
    <w:rsid w:val="1930222E"/>
    <w:rsid w:val="19522B9C"/>
    <w:rsid w:val="1958304D"/>
    <w:rsid w:val="19605984"/>
    <w:rsid w:val="19893C1B"/>
    <w:rsid w:val="199C0E2B"/>
    <w:rsid w:val="19AE4542"/>
    <w:rsid w:val="19D22266"/>
    <w:rsid w:val="19D625AF"/>
    <w:rsid w:val="19FB0804"/>
    <w:rsid w:val="1A0C3085"/>
    <w:rsid w:val="1A222A78"/>
    <w:rsid w:val="1A3B6F6E"/>
    <w:rsid w:val="1A585524"/>
    <w:rsid w:val="1A651971"/>
    <w:rsid w:val="1AA10D5C"/>
    <w:rsid w:val="1AD90C55"/>
    <w:rsid w:val="1B566075"/>
    <w:rsid w:val="1B7F7F5D"/>
    <w:rsid w:val="1B920893"/>
    <w:rsid w:val="1B9D65AE"/>
    <w:rsid w:val="1BAE348A"/>
    <w:rsid w:val="1BB456FC"/>
    <w:rsid w:val="1BBE79DC"/>
    <w:rsid w:val="1BD77BF1"/>
    <w:rsid w:val="1C057FFF"/>
    <w:rsid w:val="1C71531F"/>
    <w:rsid w:val="1CA65E92"/>
    <w:rsid w:val="1CAF3B18"/>
    <w:rsid w:val="1CB60473"/>
    <w:rsid w:val="1D03294E"/>
    <w:rsid w:val="1D0916DA"/>
    <w:rsid w:val="1D1210BB"/>
    <w:rsid w:val="1D4A3AFB"/>
    <w:rsid w:val="1D7A4399"/>
    <w:rsid w:val="1D8E57E3"/>
    <w:rsid w:val="1DB23549"/>
    <w:rsid w:val="1DCB229B"/>
    <w:rsid w:val="1DDA649F"/>
    <w:rsid w:val="1DFA4868"/>
    <w:rsid w:val="1E306F4D"/>
    <w:rsid w:val="1E3546EE"/>
    <w:rsid w:val="1E604AB2"/>
    <w:rsid w:val="1E653295"/>
    <w:rsid w:val="1E776E29"/>
    <w:rsid w:val="1E9F2DBC"/>
    <w:rsid w:val="1EC90125"/>
    <w:rsid w:val="1EE82689"/>
    <w:rsid w:val="1EF652BA"/>
    <w:rsid w:val="1F041F75"/>
    <w:rsid w:val="1F6574D0"/>
    <w:rsid w:val="1FB4257D"/>
    <w:rsid w:val="1FC10651"/>
    <w:rsid w:val="201B05E3"/>
    <w:rsid w:val="20467B2B"/>
    <w:rsid w:val="2072275A"/>
    <w:rsid w:val="20757932"/>
    <w:rsid w:val="20863958"/>
    <w:rsid w:val="21265CD6"/>
    <w:rsid w:val="213D1057"/>
    <w:rsid w:val="21593777"/>
    <w:rsid w:val="21833CD6"/>
    <w:rsid w:val="21C12375"/>
    <w:rsid w:val="21D22C16"/>
    <w:rsid w:val="21D578FD"/>
    <w:rsid w:val="2211456C"/>
    <w:rsid w:val="22283A9F"/>
    <w:rsid w:val="22304992"/>
    <w:rsid w:val="224E1230"/>
    <w:rsid w:val="227B35B0"/>
    <w:rsid w:val="22A31F03"/>
    <w:rsid w:val="23052DA2"/>
    <w:rsid w:val="233E7C6D"/>
    <w:rsid w:val="238618B5"/>
    <w:rsid w:val="239C6587"/>
    <w:rsid w:val="23BB0426"/>
    <w:rsid w:val="24092454"/>
    <w:rsid w:val="24177781"/>
    <w:rsid w:val="241B0634"/>
    <w:rsid w:val="242926B8"/>
    <w:rsid w:val="24B25669"/>
    <w:rsid w:val="250B0AA3"/>
    <w:rsid w:val="2516145F"/>
    <w:rsid w:val="25174E25"/>
    <w:rsid w:val="2543278E"/>
    <w:rsid w:val="254C1E51"/>
    <w:rsid w:val="25634470"/>
    <w:rsid w:val="256D2B60"/>
    <w:rsid w:val="26216B77"/>
    <w:rsid w:val="26504F26"/>
    <w:rsid w:val="26686DB6"/>
    <w:rsid w:val="2686194F"/>
    <w:rsid w:val="26A2241D"/>
    <w:rsid w:val="26B20F92"/>
    <w:rsid w:val="271A0A91"/>
    <w:rsid w:val="272E6231"/>
    <w:rsid w:val="274E1A81"/>
    <w:rsid w:val="275931D2"/>
    <w:rsid w:val="275A7A4D"/>
    <w:rsid w:val="27E41F42"/>
    <w:rsid w:val="28576F71"/>
    <w:rsid w:val="286D78BE"/>
    <w:rsid w:val="28B2727C"/>
    <w:rsid w:val="28C2141B"/>
    <w:rsid w:val="28C43A21"/>
    <w:rsid w:val="28C72548"/>
    <w:rsid w:val="28CA132A"/>
    <w:rsid w:val="293F5302"/>
    <w:rsid w:val="29456272"/>
    <w:rsid w:val="298D7C99"/>
    <w:rsid w:val="29A32B76"/>
    <w:rsid w:val="29B5705F"/>
    <w:rsid w:val="29E35A5C"/>
    <w:rsid w:val="29E977CC"/>
    <w:rsid w:val="29FB4A18"/>
    <w:rsid w:val="29FE5AA9"/>
    <w:rsid w:val="2A094586"/>
    <w:rsid w:val="2A10731E"/>
    <w:rsid w:val="2A300301"/>
    <w:rsid w:val="2A607D11"/>
    <w:rsid w:val="2AA239CE"/>
    <w:rsid w:val="2AAD2B16"/>
    <w:rsid w:val="2ABF7B36"/>
    <w:rsid w:val="2ACD572E"/>
    <w:rsid w:val="2AD47E67"/>
    <w:rsid w:val="2B38594A"/>
    <w:rsid w:val="2B3A1B61"/>
    <w:rsid w:val="2B712258"/>
    <w:rsid w:val="2B857BBC"/>
    <w:rsid w:val="2B9E5DCB"/>
    <w:rsid w:val="2BCF33BA"/>
    <w:rsid w:val="2C257209"/>
    <w:rsid w:val="2C6F4A9C"/>
    <w:rsid w:val="2C9B3CB2"/>
    <w:rsid w:val="2CEA213D"/>
    <w:rsid w:val="2CEF1ADA"/>
    <w:rsid w:val="2CF803F4"/>
    <w:rsid w:val="2D451806"/>
    <w:rsid w:val="2D453902"/>
    <w:rsid w:val="2D700377"/>
    <w:rsid w:val="2DB3297D"/>
    <w:rsid w:val="2DDD407F"/>
    <w:rsid w:val="2E0F7C7E"/>
    <w:rsid w:val="2E186A03"/>
    <w:rsid w:val="2E2C2192"/>
    <w:rsid w:val="2E3D5C8A"/>
    <w:rsid w:val="2E9F50AA"/>
    <w:rsid w:val="2EC6129B"/>
    <w:rsid w:val="2ED13177"/>
    <w:rsid w:val="2F7774D9"/>
    <w:rsid w:val="2F9A41DE"/>
    <w:rsid w:val="2F9A7FFD"/>
    <w:rsid w:val="2FB05C7A"/>
    <w:rsid w:val="304C7617"/>
    <w:rsid w:val="30757121"/>
    <w:rsid w:val="308C398D"/>
    <w:rsid w:val="30960451"/>
    <w:rsid w:val="30A942D7"/>
    <w:rsid w:val="30BA6273"/>
    <w:rsid w:val="31385836"/>
    <w:rsid w:val="31C411BF"/>
    <w:rsid w:val="31CB0E9D"/>
    <w:rsid w:val="322805B8"/>
    <w:rsid w:val="322F2752"/>
    <w:rsid w:val="32A15EED"/>
    <w:rsid w:val="32AC3ADD"/>
    <w:rsid w:val="33024E70"/>
    <w:rsid w:val="330C7B08"/>
    <w:rsid w:val="33452123"/>
    <w:rsid w:val="334D2231"/>
    <w:rsid w:val="3353244A"/>
    <w:rsid w:val="337D7503"/>
    <w:rsid w:val="33C869D0"/>
    <w:rsid w:val="34D05516"/>
    <w:rsid w:val="34F95E36"/>
    <w:rsid w:val="35216E17"/>
    <w:rsid w:val="353578E8"/>
    <w:rsid w:val="354E0183"/>
    <w:rsid w:val="35754BA8"/>
    <w:rsid w:val="36076DD7"/>
    <w:rsid w:val="365A5B75"/>
    <w:rsid w:val="365F08FB"/>
    <w:rsid w:val="36610C59"/>
    <w:rsid w:val="36753832"/>
    <w:rsid w:val="36E137C2"/>
    <w:rsid w:val="36E667FE"/>
    <w:rsid w:val="370C6CC3"/>
    <w:rsid w:val="37113BF8"/>
    <w:rsid w:val="371A3D51"/>
    <w:rsid w:val="372E1ADB"/>
    <w:rsid w:val="37414BC6"/>
    <w:rsid w:val="376C660D"/>
    <w:rsid w:val="37824F23"/>
    <w:rsid w:val="37934418"/>
    <w:rsid w:val="37934CB4"/>
    <w:rsid w:val="38045E52"/>
    <w:rsid w:val="380B529E"/>
    <w:rsid w:val="389A36DE"/>
    <w:rsid w:val="38A71D32"/>
    <w:rsid w:val="39021670"/>
    <w:rsid w:val="391112BE"/>
    <w:rsid w:val="3925069B"/>
    <w:rsid w:val="39306B54"/>
    <w:rsid w:val="39584838"/>
    <w:rsid w:val="395B5313"/>
    <w:rsid w:val="3986757C"/>
    <w:rsid w:val="39890CFC"/>
    <w:rsid w:val="39B1775D"/>
    <w:rsid w:val="39DA0743"/>
    <w:rsid w:val="39E71233"/>
    <w:rsid w:val="39F5113C"/>
    <w:rsid w:val="3A107085"/>
    <w:rsid w:val="3A643C24"/>
    <w:rsid w:val="3AA635A2"/>
    <w:rsid w:val="3AB1699A"/>
    <w:rsid w:val="3AEE3FDC"/>
    <w:rsid w:val="3AFB30D0"/>
    <w:rsid w:val="3B2D6B94"/>
    <w:rsid w:val="3B3960FF"/>
    <w:rsid w:val="3B935BE9"/>
    <w:rsid w:val="3B95547F"/>
    <w:rsid w:val="3B9D010F"/>
    <w:rsid w:val="3BA05EE8"/>
    <w:rsid w:val="3BB541F1"/>
    <w:rsid w:val="3BF07245"/>
    <w:rsid w:val="3BF400EA"/>
    <w:rsid w:val="3C0C4C9F"/>
    <w:rsid w:val="3C190431"/>
    <w:rsid w:val="3C3F1C76"/>
    <w:rsid w:val="3C451694"/>
    <w:rsid w:val="3C6A5C7F"/>
    <w:rsid w:val="3C7B6BB5"/>
    <w:rsid w:val="3C8C07DC"/>
    <w:rsid w:val="3CD24816"/>
    <w:rsid w:val="3CD8281F"/>
    <w:rsid w:val="3CF21EC0"/>
    <w:rsid w:val="3D336840"/>
    <w:rsid w:val="3D446C1A"/>
    <w:rsid w:val="3D572773"/>
    <w:rsid w:val="3D5A63D2"/>
    <w:rsid w:val="3D8146F3"/>
    <w:rsid w:val="3D8B56F2"/>
    <w:rsid w:val="3DB019A5"/>
    <w:rsid w:val="3DBD1D76"/>
    <w:rsid w:val="3DC206BB"/>
    <w:rsid w:val="3DC74AED"/>
    <w:rsid w:val="3DCE57AB"/>
    <w:rsid w:val="3DFA6209"/>
    <w:rsid w:val="3E153532"/>
    <w:rsid w:val="3E162B84"/>
    <w:rsid w:val="3E5D4AE8"/>
    <w:rsid w:val="3E73177F"/>
    <w:rsid w:val="3E752B1E"/>
    <w:rsid w:val="3EA90345"/>
    <w:rsid w:val="3EA931EC"/>
    <w:rsid w:val="3F093170"/>
    <w:rsid w:val="3F7724E9"/>
    <w:rsid w:val="3F98583F"/>
    <w:rsid w:val="3FB4462F"/>
    <w:rsid w:val="3FBE4AB7"/>
    <w:rsid w:val="3FD045EE"/>
    <w:rsid w:val="3FD66D59"/>
    <w:rsid w:val="3FEC01F0"/>
    <w:rsid w:val="3FFD6213"/>
    <w:rsid w:val="40115ADC"/>
    <w:rsid w:val="40191039"/>
    <w:rsid w:val="40365F00"/>
    <w:rsid w:val="403B5AC4"/>
    <w:rsid w:val="404C7B9F"/>
    <w:rsid w:val="405510D2"/>
    <w:rsid w:val="405B1B5B"/>
    <w:rsid w:val="40A75976"/>
    <w:rsid w:val="40B622D3"/>
    <w:rsid w:val="40C42C4F"/>
    <w:rsid w:val="40FF1CCE"/>
    <w:rsid w:val="41113876"/>
    <w:rsid w:val="41347331"/>
    <w:rsid w:val="419A4AF8"/>
    <w:rsid w:val="41A65091"/>
    <w:rsid w:val="41C64F83"/>
    <w:rsid w:val="41DC0958"/>
    <w:rsid w:val="423527F8"/>
    <w:rsid w:val="423D2E4F"/>
    <w:rsid w:val="426F1C84"/>
    <w:rsid w:val="427D12FF"/>
    <w:rsid w:val="4286236A"/>
    <w:rsid w:val="42B11EFA"/>
    <w:rsid w:val="42B65724"/>
    <w:rsid w:val="42C204E5"/>
    <w:rsid w:val="42CE2BEC"/>
    <w:rsid w:val="430B2F2F"/>
    <w:rsid w:val="43293B04"/>
    <w:rsid w:val="439C6936"/>
    <w:rsid w:val="43C54A82"/>
    <w:rsid w:val="43E62414"/>
    <w:rsid w:val="44337042"/>
    <w:rsid w:val="44561534"/>
    <w:rsid w:val="445E2DCB"/>
    <w:rsid w:val="4473549A"/>
    <w:rsid w:val="447C509F"/>
    <w:rsid w:val="44AF2C9A"/>
    <w:rsid w:val="44BD5143"/>
    <w:rsid w:val="44D078E8"/>
    <w:rsid w:val="45360AC9"/>
    <w:rsid w:val="4542165C"/>
    <w:rsid w:val="455A6C29"/>
    <w:rsid w:val="45D34635"/>
    <w:rsid w:val="46550562"/>
    <w:rsid w:val="46681E73"/>
    <w:rsid w:val="466B4B1F"/>
    <w:rsid w:val="46C210D0"/>
    <w:rsid w:val="46CD046A"/>
    <w:rsid w:val="46D72434"/>
    <w:rsid w:val="46E0435A"/>
    <w:rsid w:val="47046002"/>
    <w:rsid w:val="470844B3"/>
    <w:rsid w:val="470C68B1"/>
    <w:rsid w:val="471D18B9"/>
    <w:rsid w:val="473729ED"/>
    <w:rsid w:val="47395469"/>
    <w:rsid w:val="47666781"/>
    <w:rsid w:val="47790C40"/>
    <w:rsid w:val="47976E85"/>
    <w:rsid w:val="47B72093"/>
    <w:rsid w:val="47C3150D"/>
    <w:rsid w:val="48120002"/>
    <w:rsid w:val="4825747C"/>
    <w:rsid w:val="482F21D7"/>
    <w:rsid w:val="483D4A70"/>
    <w:rsid w:val="48430BD4"/>
    <w:rsid w:val="48614B6D"/>
    <w:rsid w:val="489047B7"/>
    <w:rsid w:val="48A15DA8"/>
    <w:rsid w:val="48C000DF"/>
    <w:rsid w:val="48D11DFE"/>
    <w:rsid w:val="48D6498D"/>
    <w:rsid w:val="48DC2CE8"/>
    <w:rsid w:val="49217191"/>
    <w:rsid w:val="49301984"/>
    <w:rsid w:val="497A3761"/>
    <w:rsid w:val="49DD5808"/>
    <w:rsid w:val="49E14DBA"/>
    <w:rsid w:val="49E445AC"/>
    <w:rsid w:val="49F92410"/>
    <w:rsid w:val="4A394E71"/>
    <w:rsid w:val="4A481D90"/>
    <w:rsid w:val="4A724FDC"/>
    <w:rsid w:val="4A824DBA"/>
    <w:rsid w:val="4AAA2968"/>
    <w:rsid w:val="4AC01717"/>
    <w:rsid w:val="4AFF579B"/>
    <w:rsid w:val="4B1373A0"/>
    <w:rsid w:val="4B295220"/>
    <w:rsid w:val="4B353D2F"/>
    <w:rsid w:val="4B441B7D"/>
    <w:rsid w:val="4B595602"/>
    <w:rsid w:val="4B7C4913"/>
    <w:rsid w:val="4B826E8D"/>
    <w:rsid w:val="4C2444BC"/>
    <w:rsid w:val="4C3305B7"/>
    <w:rsid w:val="4C3C0D3E"/>
    <w:rsid w:val="4C573903"/>
    <w:rsid w:val="4C791310"/>
    <w:rsid w:val="4CA471F6"/>
    <w:rsid w:val="4CAA37F2"/>
    <w:rsid w:val="4CCB3109"/>
    <w:rsid w:val="4CE0394B"/>
    <w:rsid w:val="4CE6259B"/>
    <w:rsid w:val="4D1572E5"/>
    <w:rsid w:val="4D184051"/>
    <w:rsid w:val="4D190915"/>
    <w:rsid w:val="4D263FBC"/>
    <w:rsid w:val="4D5D6704"/>
    <w:rsid w:val="4D654EEF"/>
    <w:rsid w:val="4E120F8C"/>
    <w:rsid w:val="4E1F67A8"/>
    <w:rsid w:val="4E285044"/>
    <w:rsid w:val="4E5C2BC4"/>
    <w:rsid w:val="4E94720B"/>
    <w:rsid w:val="4ED10703"/>
    <w:rsid w:val="4ED83ED7"/>
    <w:rsid w:val="4F040DEA"/>
    <w:rsid w:val="4F0754EA"/>
    <w:rsid w:val="4F234754"/>
    <w:rsid w:val="4F457B1A"/>
    <w:rsid w:val="4F4E70F8"/>
    <w:rsid w:val="4F5C6981"/>
    <w:rsid w:val="4F9A6DA7"/>
    <w:rsid w:val="501D23DF"/>
    <w:rsid w:val="502D684B"/>
    <w:rsid w:val="50354707"/>
    <w:rsid w:val="507325A9"/>
    <w:rsid w:val="509A658F"/>
    <w:rsid w:val="50BD01B4"/>
    <w:rsid w:val="510131FF"/>
    <w:rsid w:val="51240015"/>
    <w:rsid w:val="513730DE"/>
    <w:rsid w:val="5169135D"/>
    <w:rsid w:val="51903462"/>
    <w:rsid w:val="51BA5737"/>
    <w:rsid w:val="51E85842"/>
    <w:rsid w:val="522713D8"/>
    <w:rsid w:val="524D1F13"/>
    <w:rsid w:val="525F27C2"/>
    <w:rsid w:val="529A3418"/>
    <w:rsid w:val="52A17028"/>
    <w:rsid w:val="52DC3D41"/>
    <w:rsid w:val="52E21927"/>
    <w:rsid w:val="52F24446"/>
    <w:rsid w:val="52FF7408"/>
    <w:rsid w:val="53146409"/>
    <w:rsid w:val="53312359"/>
    <w:rsid w:val="53830CAD"/>
    <w:rsid w:val="53E2759F"/>
    <w:rsid w:val="54143E22"/>
    <w:rsid w:val="544F0E3F"/>
    <w:rsid w:val="544F2EEF"/>
    <w:rsid w:val="545019DE"/>
    <w:rsid w:val="546817FF"/>
    <w:rsid w:val="54945EA4"/>
    <w:rsid w:val="54C05CBD"/>
    <w:rsid w:val="54D52D06"/>
    <w:rsid w:val="54E9456D"/>
    <w:rsid w:val="55124FEB"/>
    <w:rsid w:val="55240D6F"/>
    <w:rsid w:val="552A3FF8"/>
    <w:rsid w:val="552F29A1"/>
    <w:rsid w:val="557908F7"/>
    <w:rsid w:val="558F3F29"/>
    <w:rsid w:val="55B71179"/>
    <w:rsid w:val="55E34782"/>
    <w:rsid w:val="56187F1F"/>
    <w:rsid w:val="563C4F02"/>
    <w:rsid w:val="566A7D54"/>
    <w:rsid w:val="56A61929"/>
    <w:rsid w:val="56B47E6C"/>
    <w:rsid w:val="57005C27"/>
    <w:rsid w:val="572C3AEC"/>
    <w:rsid w:val="57341002"/>
    <w:rsid w:val="573D7958"/>
    <w:rsid w:val="57853796"/>
    <w:rsid w:val="57997FC1"/>
    <w:rsid w:val="57AB395F"/>
    <w:rsid w:val="57D04B71"/>
    <w:rsid w:val="57D8131D"/>
    <w:rsid w:val="57EA4B5F"/>
    <w:rsid w:val="581546BA"/>
    <w:rsid w:val="581B302D"/>
    <w:rsid w:val="582214B2"/>
    <w:rsid w:val="585A27E2"/>
    <w:rsid w:val="585E47ED"/>
    <w:rsid w:val="58B01DA5"/>
    <w:rsid w:val="58B15AB4"/>
    <w:rsid w:val="58BA71DA"/>
    <w:rsid w:val="58BB1688"/>
    <w:rsid w:val="58CA6244"/>
    <w:rsid w:val="590411E6"/>
    <w:rsid w:val="5906541A"/>
    <w:rsid w:val="59160A36"/>
    <w:rsid w:val="59297FA3"/>
    <w:rsid w:val="592B2219"/>
    <w:rsid w:val="592F20A3"/>
    <w:rsid w:val="593B3814"/>
    <w:rsid w:val="599F107F"/>
    <w:rsid w:val="59AC7746"/>
    <w:rsid w:val="59BD6D17"/>
    <w:rsid w:val="59CA183D"/>
    <w:rsid w:val="59CC0B75"/>
    <w:rsid w:val="5A325687"/>
    <w:rsid w:val="5A464CDC"/>
    <w:rsid w:val="5AAD09E1"/>
    <w:rsid w:val="5ABA5148"/>
    <w:rsid w:val="5AD62D0E"/>
    <w:rsid w:val="5ADC474D"/>
    <w:rsid w:val="5ADE5280"/>
    <w:rsid w:val="5B4A0EAB"/>
    <w:rsid w:val="5B5D6791"/>
    <w:rsid w:val="5B711D73"/>
    <w:rsid w:val="5B880463"/>
    <w:rsid w:val="5C1257E9"/>
    <w:rsid w:val="5CE4523D"/>
    <w:rsid w:val="5CE816BD"/>
    <w:rsid w:val="5CFB1CB4"/>
    <w:rsid w:val="5D1B293F"/>
    <w:rsid w:val="5D234301"/>
    <w:rsid w:val="5D2978A5"/>
    <w:rsid w:val="5D3653C6"/>
    <w:rsid w:val="5D6F44A1"/>
    <w:rsid w:val="5D737242"/>
    <w:rsid w:val="5D786BA7"/>
    <w:rsid w:val="5D95259F"/>
    <w:rsid w:val="5D9B1749"/>
    <w:rsid w:val="5DBD3A61"/>
    <w:rsid w:val="5DEE0C81"/>
    <w:rsid w:val="5E102FBA"/>
    <w:rsid w:val="5E191DAA"/>
    <w:rsid w:val="5E310598"/>
    <w:rsid w:val="5E3A5A42"/>
    <w:rsid w:val="5E913C04"/>
    <w:rsid w:val="5E9C28B6"/>
    <w:rsid w:val="5EDE738C"/>
    <w:rsid w:val="5EF850A5"/>
    <w:rsid w:val="5F0E5E89"/>
    <w:rsid w:val="5F541736"/>
    <w:rsid w:val="5F7C2D02"/>
    <w:rsid w:val="5F803205"/>
    <w:rsid w:val="5F976840"/>
    <w:rsid w:val="5FCA5347"/>
    <w:rsid w:val="5FEF547B"/>
    <w:rsid w:val="5FFE5029"/>
    <w:rsid w:val="60040545"/>
    <w:rsid w:val="6020229F"/>
    <w:rsid w:val="60706436"/>
    <w:rsid w:val="60747C8A"/>
    <w:rsid w:val="60D70522"/>
    <w:rsid w:val="60E31840"/>
    <w:rsid w:val="60F16BB3"/>
    <w:rsid w:val="610B3423"/>
    <w:rsid w:val="612E2BB8"/>
    <w:rsid w:val="619C193C"/>
    <w:rsid w:val="61A25A30"/>
    <w:rsid w:val="61C3157C"/>
    <w:rsid w:val="61FA7D66"/>
    <w:rsid w:val="6204477D"/>
    <w:rsid w:val="62060E1C"/>
    <w:rsid w:val="621F3AB6"/>
    <w:rsid w:val="623B1EBF"/>
    <w:rsid w:val="62400235"/>
    <w:rsid w:val="626153B5"/>
    <w:rsid w:val="62616427"/>
    <w:rsid w:val="62966DD3"/>
    <w:rsid w:val="62AD5421"/>
    <w:rsid w:val="62B33383"/>
    <w:rsid w:val="62D50873"/>
    <w:rsid w:val="62E36935"/>
    <w:rsid w:val="630018D0"/>
    <w:rsid w:val="63207DB0"/>
    <w:rsid w:val="63790454"/>
    <w:rsid w:val="63997974"/>
    <w:rsid w:val="63AD6738"/>
    <w:rsid w:val="63C86BC9"/>
    <w:rsid w:val="63EE0059"/>
    <w:rsid w:val="642C5CFA"/>
    <w:rsid w:val="643961EB"/>
    <w:rsid w:val="64B969E0"/>
    <w:rsid w:val="64CB03A6"/>
    <w:rsid w:val="64D5686B"/>
    <w:rsid w:val="64EE11D7"/>
    <w:rsid w:val="655A1184"/>
    <w:rsid w:val="65847340"/>
    <w:rsid w:val="65945AC3"/>
    <w:rsid w:val="65A932F6"/>
    <w:rsid w:val="65DC538B"/>
    <w:rsid w:val="65E64685"/>
    <w:rsid w:val="6621172D"/>
    <w:rsid w:val="66C10A5B"/>
    <w:rsid w:val="66E929B1"/>
    <w:rsid w:val="66EC18AA"/>
    <w:rsid w:val="670B151B"/>
    <w:rsid w:val="675B2686"/>
    <w:rsid w:val="67862E67"/>
    <w:rsid w:val="67BE7D7C"/>
    <w:rsid w:val="68B00E85"/>
    <w:rsid w:val="68B54FBF"/>
    <w:rsid w:val="69342D7D"/>
    <w:rsid w:val="69740A5A"/>
    <w:rsid w:val="69781BD3"/>
    <w:rsid w:val="69E30252"/>
    <w:rsid w:val="69FC2417"/>
    <w:rsid w:val="6A90697A"/>
    <w:rsid w:val="6ABE20BE"/>
    <w:rsid w:val="6AF836B8"/>
    <w:rsid w:val="6B0E0153"/>
    <w:rsid w:val="6B351004"/>
    <w:rsid w:val="6B3872A2"/>
    <w:rsid w:val="6B541FD2"/>
    <w:rsid w:val="6B8D5E60"/>
    <w:rsid w:val="6BAA1B95"/>
    <w:rsid w:val="6BB35BFE"/>
    <w:rsid w:val="6BC22DBA"/>
    <w:rsid w:val="6BF20DDA"/>
    <w:rsid w:val="6C262DB3"/>
    <w:rsid w:val="6C3157D1"/>
    <w:rsid w:val="6CA52DBC"/>
    <w:rsid w:val="6CEB6A3E"/>
    <w:rsid w:val="6CF0685D"/>
    <w:rsid w:val="6D390294"/>
    <w:rsid w:val="6D65402C"/>
    <w:rsid w:val="6D68553B"/>
    <w:rsid w:val="6DA61794"/>
    <w:rsid w:val="6DE335C9"/>
    <w:rsid w:val="6DF67446"/>
    <w:rsid w:val="6E2C0A7E"/>
    <w:rsid w:val="6E2C7536"/>
    <w:rsid w:val="6E2F52F7"/>
    <w:rsid w:val="6E3A2CBF"/>
    <w:rsid w:val="6E4420EC"/>
    <w:rsid w:val="6E9962F6"/>
    <w:rsid w:val="6EA44D6B"/>
    <w:rsid w:val="6EB40A20"/>
    <w:rsid w:val="6EC66B5D"/>
    <w:rsid w:val="6EDB36F2"/>
    <w:rsid w:val="6F171E51"/>
    <w:rsid w:val="6F184A80"/>
    <w:rsid w:val="6F25634B"/>
    <w:rsid w:val="6F2A6920"/>
    <w:rsid w:val="6F613309"/>
    <w:rsid w:val="6F616F89"/>
    <w:rsid w:val="6F626503"/>
    <w:rsid w:val="6F773BAB"/>
    <w:rsid w:val="6F7D1C63"/>
    <w:rsid w:val="6FC71597"/>
    <w:rsid w:val="6FD07368"/>
    <w:rsid w:val="6FD500CE"/>
    <w:rsid w:val="6FEA067D"/>
    <w:rsid w:val="6FF42C80"/>
    <w:rsid w:val="701B1E06"/>
    <w:rsid w:val="701F2F94"/>
    <w:rsid w:val="70214281"/>
    <w:rsid w:val="702C5938"/>
    <w:rsid w:val="705B10BF"/>
    <w:rsid w:val="709A1EB2"/>
    <w:rsid w:val="70C26883"/>
    <w:rsid w:val="70E40D33"/>
    <w:rsid w:val="70F21587"/>
    <w:rsid w:val="70F303F4"/>
    <w:rsid w:val="70FD30CB"/>
    <w:rsid w:val="71333DC6"/>
    <w:rsid w:val="714A0B51"/>
    <w:rsid w:val="714E1E46"/>
    <w:rsid w:val="716C1E07"/>
    <w:rsid w:val="71A642CE"/>
    <w:rsid w:val="71B34C2C"/>
    <w:rsid w:val="71B67BF2"/>
    <w:rsid w:val="71E53076"/>
    <w:rsid w:val="72230ED4"/>
    <w:rsid w:val="72347A73"/>
    <w:rsid w:val="723D68B8"/>
    <w:rsid w:val="726D4EF3"/>
    <w:rsid w:val="72846F91"/>
    <w:rsid w:val="72C41659"/>
    <w:rsid w:val="72E81490"/>
    <w:rsid w:val="72EC6570"/>
    <w:rsid w:val="72F6295F"/>
    <w:rsid w:val="73994706"/>
    <w:rsid w:val="740C053A"/>
    <w:rsid w:val="74101284"/>
    <w:rsid w:val="7419040B"/>
    <w:rsid w:val="742F283F"/>
    <w:rsid w:val="743807B1"/>
    <w:rsid w:val="747B3DF2"/>
    <w:rsid w:val="749641B5"/>
    <w:rsid w:val="74BD2132"/>
    <w:rsid w:val="74C34C30"/>
    <w:rsid w:val="74FE2F35"/>
    <w:rsid w:val="755B0B72"/>
    <w:rsid w:val="755E1986"/>
    <w:rsid w:val="756939BE"/>
    <w:rsid w:val="756F1A60"/>
    <w:rsid w:val="75C2737B"/>
    <w:rsid w:val="75CB0D50"/>
    <w:rsid w:val="75E71690"/>
    <w:rsid w:val="75F44526"/>
    <w:rsid w:val="75FF1B5A"/>
    <w:rsid w:val="760E1AF1"/>
    <w:rsid w:val="763A2C39"/>
    <w:rsid w:val="766559DF"/>
    <w:rsid w:val="766C646A"/>
    <w:rsid w:val="767D36B8"/>
    <w:rsid w:val="769D685E"/>
    <w:rsid w:val="76B6040C"/>
    <w:rsid w:val="76BC245B"/>
    <w:rsid w:val="76ED25C2"/>
    <w:rsid w:val="76EF5EBE"/>
    <w:rsid w:val="77003D20"/>
    <w:rsid w:val="77534841"/>
    <w:rsid w:val="77783DDB"/>
    <w:rsid w:val="77CF49DE"/>
    <w:rsid w:val="785C6B36"/>
    <w:rsid w:val="786575B6"/>
    <w:rsid w:val="786862BE"/>
    <w:rsid w:val="78697B5A"/>
    <w:rsid w:val="786F2B59"/>
    <w:rsid w:val="7881288F"/>
    <w:rsid w:val="78C533B9"/>
    <w:rsid w:val="78CC107D"/>
    <w:rsid w:val="79202CA3"/>
    <w:rsid w:val="79490367"/>
    <w:rsid w:val="796D255D"/>
    <w:rsid w:val="79937053"/>
    <w:rsid w:val="79F97A38"/>
    <w:rsid w:val="7A26615E"/>
    <w:rsid w:val="7A2666DE"/>
    <w:rsid w:val="7A2D0923"/>
    <w:rsid w:val="7A2F76A0"/>
    <w:rsid w:val="7A4C7FE0"/>
    <w:rsid w:val="7A687D67"/>
    <w:rsid w:val="7A927C0B"/>
    <w:rsid w:val="7AAA4EF7"/>
    <w:rsid w:val="7AC44419"/>
    <w:rsid w:val="7AC80500"/>
    <w:rsid w:val="7AFD0189"/>
    <w:rsid w:val="7B4E5B04"/>
    <w:rsid w:val="7B6D74DD"/>
    <w:rsid w:val="7B9C7B17"/>
    <w:rsid w:val="7BB56EB9"/>
    <w:rsid w:val="7C612263"/>
    <w:rsid w:val="7C6D5261"/>
    <w:rsid w:val="7CEA6E02"/>
    <w:rsid w:val="7D0A69B8"/>
    <w:rsid w:val="7D171FD5"/>
    <w:rsid w:val="7D5C1CAD"/>
    <w:rsid w:val="7D7013B1"/>
    <w:rsid w:val="7D740BD7"/>
    <w:rsid w:val="7DA27B93"/>
    <w:rsid w:val="7DB775D7"/>
    <w:rsid w:val="7DE25CA3"/>
    <w:rsid w:val="7E0E580E"/>
    <w:rsid w:val="7E4D4500"/>
    <w:rsid w:val="7E730A3D"/>
    <w:rsid w:val="7E8304D0"/>
    <w:rsid w:val="7EE0365C"/>
    <w:rsid w:val="7F49428D"/>
    <w:rsid w:val="7F8570E0"/>
    <w:rsid w:val="7F931BA7"/>
    <w:rsid w:val="7F955FD1"/>
    <w:rsid w:val="7FBC5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ascii="宋体" w:hAnsi="宋体"/>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link w:val="30"/>
    <w:qFormat/>
    <w:uiPriority w:val="9"/>
    <w:pPr>
      <w:keepNext/>
      <w:keepLines/>
      <w:spacing w:before="260" w:after="260" w:line="416" w:lineRule="atLeast"/>
      <w:ind w:firstLine="200" w:firstLineChars="200"/>
      <w:outlineLvl w:val="2"/>
    </w:pPr>
    <w:rPr>
      <w:rFonts w:eastAsia="方正仿宋_GBK"/>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after="120"/>
    </w:pPr>
  </w:style>
  <w:style w:type="paragraph" w:styleId="6">
    <w:name w:val="annotation text"/>
    <w:basedOn w:val="1"/>
    <w:link w:val="37"/>
    <w:qFormat/>
    <w:uiPriority w:val="0"/>
    <w:pPr>
      <w:jc w:val="left"/>
    </w:pPr>
  </w:style>
  <w:style w:type="paragraph" w:styleId="7">
    <w:name w:val="Body Text Indent"/>
    <w:basedOn w:val="1"/>
    <w:link w:val="33"/>
    <w:qFormat/>
    <w:uiPriority w:val="0"/>
    <w:pPr>
      <w:spacing w:after="120"/>
      <w:ind w:left="420" w:leftChars="200"/>
    </w:pPr>
  </w:style>
  <w:style w:type="paragraph" w:styleId="8">
    <w:name w:val="Balloon Text"/>
    <w:basedOn w:val="1"/>
    <w:link w:val="39"/>
    <w:qFormat/>
    <w:uiPriority w:val="0"/>
    <w:rPr>
      <w:sz w:val="18"/>
      <w:szCs w:val="18"/>
    </w:rPr>
  </w:style>
  <w:style w:type="paragraph" w:styleId="9">
    <w:name w:val="footer"/>
    <w:basedOn w:val="1"/>
    <w:link w:val="31"/>
    <w:qFormat/>
    <w:uiPriority w:val="0"/>
    <w:pPr>
      <w:tabs>
        <w:tab w:val="center" w:pos="4153"/>
        <w:tab w:val="right" w:pos="8306"/>
      </w:tabs>
      <w:snapToGrid w:val="0"/>
      <w:jc w:val="left"/>
    </w:pPr>
    <w:rPr>
      <w:sz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99"/>
    <w:pPr>
      <w:spacing w:before="240" w:after="60"/>
      <w:jc w:val="center"/>
      <w:outlineLvl w:val="0"/>
    </w:pPr>
    <w:rPr>
      <w:rFonts w:ascii="Calibri Light" w:hAnsi="Calibri Light" w:cs="Calibri Light"/>
      <w:b/>
      <w:bCs/>
      <w:sz w:val="32"/>
      <w:szCs w:val="32"/>
    </w:rPr>
  </w:style>
  <w:style w:type="paragraph" w:styleId="13">
    <w:name w:val="annotation subject"/>
    <w:basedOn w:val="6"/>
    <w:next w:val="6"/>
    <w:link w:val="38"/>
    <w:qFormat/>
    <w:uiPriority w:val="0"/>
    <w:rPr>
      <w:b/>
      <w:bCs/>
    </w:rPr>
  </w:style>
  <w:style w:type="paragraph" w:styleId="14">
    <w:name w:val="Body Text First Indent 2"/>
    <w:basedOn w:val="7"/>
    <w:link w:val="35"/>
    <w:qFormat/>
    <w:uiPriority w:val="0"/>
    <w:pPr>
      <w:ind w:firstLine="420" w:firstLineChars="200"/>
    </w:pPr>
    <w:rPr>
      <w:rFonts w:asciiTheme="minorHAnsi" w:hAnsiTheme="minorHAnsi" w:eastAsiaTheme="minorEastAsia" w:cstheme="minorBidi"/>
    </w:rPr>
  </w:style>
  <w:style w:type="character" w:styleId="17">
    <w:name w:val="Strong"/>
    <w:basedOn w:val="16"/>
    <w:qFormat/>
    <w:uiPriority w:val="0"/>
    <w:rPr>
      <w:b/>
      <w:bCs/>
    </w:rPr>
  </w:style>
  <w:style w:type="character" w:styleId="18">
    <w:name w:val="Emphasis"/>
    <w:basedOn w:val="16"/>
    <w:qFormat/>
    <w:uiPriority w:val="20"/>
    <w:rPr>
      <w:i/>
      <w:iCs/>
    </w:rPr>
  </w:style>
  <w:style w:type="character" w:styleId="19">
    <w:name w:val="annotation reference"/>
    <w:basedOn w:val="16"/>
    <w:qFormat/>
    <w:uiPriority w:val="0"/>
    <w:rPr>
      <w:sz w:val="21"/>
      <w:szCs w:val="21"/>
    </w:rPr>
  </w:style>
  <w:style w:type="paragraph" w:customStyle="1" w:styleId="20">
    <w:name w:val="1 Char Char Char Char"/>
    <w:basedOn w:val="1"/>
    <w:qFormat/>
    <w:uiPriority w:val="0"/>
    <w:pPr>
      <w:spacing w:line="360" w:lineRule="auto"/>
      <w:ind w:firstLine="200" w:firstLineChars="200"/>
    </w:pPr>
    <w:rPr>
      <w:rFonts w:ascii="Calibri" w:hAnsi="Calibri"/>
    </w:rPr>
  </w:style>
  <w:style w:type="paragraph" w:customStyle="1" w:styleId="21">
    <w:name w:val="Body Text First Indent 21"/>
    <w:basedOn w:val="22"/>
    <w:unhideWhenUsed/>
    <w:qFormat/>
    <w:uiPriority w:val="99"/>
    <w:pPr>
      <w:ind w:left="0" w:firstLine="420"/>
    </w:pPr>
    <w:rPr>
      <w:rFonts w:eastAsia="Times New Roman"/>
      <w:sz w:val="32"/>
      <w:szCs w:val="32"/>
    </w:rPr>
  </w:style>
  <w:style w:type="paragraph" w:customStyle="1" w:styleId="22">
    <w:name w:val="Body Text Indent1"/>
    <w:basedOn w:val="1"/>
    <w:unhideWhenUsed/>
    <w:qFormat/>
    <w:uiPriority w:val="99"/>
    <w:pPr>
      <w:ind w:left="420" w:leftChars="200"/>
    </w:pPr>
    <w:rPr>
      <w:rFonts w:ascii="Calibri" w:hAnsi="Calibri"/>
    </w:rPr>
  </w:style>
  <w:style w:type="character" w:customStyle="1" w:styleId="23">
    <w:name w:val="ca-71"/>
    <w:qFormat/>
    <w:uiPriority w:val="0"/>
    <w:rPr>
      <w:rFonts w:hint="eastAsia" w:ascii="黑体" w:eastAsia="黑体"/>
      <w:color w:val="000000"/>
      <w:sz w:val="32"/>
      <w:szCs w:val="32"/>
    </w:rPr>
  </w:style>
  <w:style w:type="character" w:customStyle="1" w:styleId="24">
    <w:name w:val="页眉 Char"/>
    <w:basedOn w:val="16"/>
    <w:link w:val="10"/>
    <w:qFormat/>
    <w:uiPriority w:val="99"/>
    <w:rPr>
      <w:rFonts w:ascii="Times New Roman" w:hAnsi="Times New Roman"/>
      <w:kern w:val="2"/>
      <w:sz w:val="18"/>
      <w:szCs w:val="18"/>
    </w:rPr>
  </w:style>
  <w:style w:type="character" w:customStyle="1" w:styleId="25">
    <w:name w:val="font31"/>
    <w:basedOn w:val="16"/>
    <w:qFormat/>
    <w:uiPriority w:val="0"/>
    <w:rPr>
      <w:rFonts w:hint="eastAsia" w:ascii="仿宋_GB2312" w:eastAsia="仿宋_GB2312" w:cs="仿宋_GB2312"/>
      <w:color w:val="000000"/>
      <w:sz w:val="24"/>
      <w:szCs w:val="24"/>
      <w:u w:val="none"/>
    </w:rPr>
  </w:style>
  <w:style w:type="character" w:customStyle="1" w:styleId="26">
    <w:name w:val="font01"/>
    <w:basedOn w:val="16"/>
    <w:qFormat/>
    <w:uiPriority w:val="0"/>
    <w:rPr>
      <w:rFonts w:hint="eastAsia" w:ascii="宋体" w:hAnsi="宋体" w:eastAsia="宋体" w:cs="宋体"/>
      <w:b/>
      <w:color w:val="000000"/>
      <w:sz w:val="32"/>
      <w:szCs w:val="32"/>
      <w:u w:val="none"/>
    </w:rPr>
  </w:style>
  <w:style w:type="character" w:customStyle="1" w:styleId="27">
    <w:name w:val="正文文本 Char"/>
    <w:basedOn w:val="16"/>
    <w:link w:val="2"/>
    <w:qFormat/>
    <w:uiPriority w:val="99"/>
    <w:rPr>
      <w:kern w:val="2"/>
      <w:sz w:val="21"/>
      <w:szCs w:val="24"/>
    </w:rPr>
  </w:style>
  <w:style w:type="paragraph" w:customStyle="1" w:styleId="28">
    <w:name w:val="列出段落1"/>
    <w:basedOn w:val="1"/>
    <w:unhideWhenUsed/>
    <w:qFormat/>
    <w:uiPriority w:val="34"/>
    <w:pPr>
      <w:ind w:firstLine="420" w:firstLineChars="200"/>
    </w:pPr>
  </w:style>
  <w:style w:type="paragraph" w:customStyle="1" w:styleId="29">
    <w:name w:val="_Style 5"/>
    <w:basedOn w:val="1"/>
    <w:qFormat/>
    <w:uiPriority w:val="0"/>
    <w:pPr>
      <w:adjustRightInd w:val="0"/>
    </w:pPr>
  </w:style>
  <w:style w:type="character" w:customStyle="1" w:styleId="30">
    <w:name w:val="标题 3 Char"/>
    <w:basedOn w:val="16"/>
    <w:link w:val="5"/>
    <w:qFormat/>
    <w:uiPriority w:val="9"/>
    <w:rPr>
      <w:rFonts w:eastAsia="方正仿宋_GBK"/>
      <w:b/>
      <w:bCs/>
      <w:kern w:val="2"/>
      <w:sz w:val="32"/>
      <w:szCs w:val="32"/>
    </w:rPr>
  </w:style>
  <w:style w:type="character" w:customStyle="1" w:styleId="31">
    <w:name w:val="页脚 Char"/>
    <w:basedOn w:val="16"/>
    <w:link w:val="9"/>
    <w:qFormat/>
    <w:uiPriority w:val="0"/>
    <w:rPr>
      <w:kern w:val="2"/>
      <w:sz w:val="18"/>
      <w:szCs w:val="24"/>
    </w:rPr>
  </w:style>
  <w:style w:type="character" w:customStyle="1" w:styleId="32">
    <w:name w:val="infodetail1"/>
    <w:basedOn w:val="16"/>
    <w:qFormat/>
    <w:uiPriority w:val="0"/>
    <w:rPr>
      <w:sz w:val="21"/>
      <w:szCs w:val="21"/>
    </w:rPr>
  </w:style>
  <w:style w:type="character" w:customStyle="1" w:styleId="33">
    <w:name w:val="正文文本缩进 Char"/>
    <w:basedOn w:val="16"/>
    <w:link w:val="7"/>
    <w:qFormat/>
    <w:uiPriority w:val="0"/>
    <w:rPr>
      <w:kern w:val="2"/>
      <w:sz w:val="21"/>
      <w:szCs w:val="24"/>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5">
    <w:name w:val="正文首行缩进 2 Char"/>
    <w:basedOn w:val="33"/>
    <w:link w:val="14"/>
    <w:qFormat/>
    <w:uiPriority w:val="0"/>
    <w:rPr>
      <w:rFonts w:asciiTheme="minorHAnsi" w:hAnsiTheme="minorHAnsi" w:eastAsiaTheme="minorEastAsia" w:cstheme="minorBidi"/>
      <w:kern w:val="2"/>
      <w:sz w:val="21"/>
      <w:szCs w:val="24"/>
    </w:rPr>
  </w:style>
  <w:style w:type="paragraph" w:customStyle="1" w:styleId="36">
    <w:name w:val="标题1"/>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character" w:customStyle="1" w:styleId="37">
    <w:name w:val="批注文字 Char"/>
    <w:basedOn w:val="16"/>
    <w:link w:val="6"/>
    <w:qFormat/>
    <w:uiPriority w:val="0"/>
    <w:rPr>
      <w:kern w:val="2"/>
      <w:sz w:val="21"/>
      <w:szCs w:val="24"/>
    </w:rPr>
  </w:style>
  <w:style w:type="character" w:customStyle="1" w:styleId="38">
    <w:name w:val="批注主题 Char"/>
    <w:basedOn w:val="37"/>
    <w:link w:val="13"/>
    <w:qFormat/>
    <w:uiPriority w:val="0"/>
    <w:rPr>
      <w:b/>
      <w:bCs/>
      <w:kern w:val="2"/>
      <w:sz w:val="21"/>
      <w:szCs w:val="24"/>
    </w:rPr>
  </w:style>
  <w:style w:type="character" w:customStyle="1" w:styleId="39">
    <w:name w:val="批注框文本 Char"/>
    <w:basedOn w:val="16"/>
    <w:link w:val="8"/>
    <w:qFormat/>
    <w:uiPriority w:val="0"/>
    <w:rPr>
      <w:kern w:val="2"/>
      <w:sz w:val="18"/>
      <w:szCs w:val="18"/>
    </w:rPr>
  </w:style>
  <w:style w:type="character" w:customStyle="1" w:styleId="40">
    <w:name w:val="font41"/>
    <w:basedOn w:val="16"/>
    <w:qFormat/>
    <w:uiPriority w:val="0"/>
    <w:rPr>
      <w:rFonts w:hint="eastAsia" w:ascii="宋体" w:hAnsi="宋体" w:eastAsia="宋体" w:cs="宋体"/>
      <w:color w:val="000000"/>
      <w:sz w:val="32"/>
      <w:szCs w:val="32"/>
      <w:u w:val="none"/>
    </w:rPr>
  </w:style>
  <w:style w:type="character" w:customStyle="1" w:styleId="41">
    <w:name w:val="font101"/>
    <w:basedOn w:val="16"/>
    <w:qFormat/>
    <w:uiPriority w:val="0"/>
    <w:rPr>
      <w:rFonts w:hint="eastAsia" w:ascii="宋体" w:hAnsi="宋体" w:eastAsia="宋体" w:cs="宋体"/>
      <w:b/>
      <w:color w:val="000000"/>
      <w:sz w:val="56"/>
      <w:szCs w:val="5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3103</Words>
  <Characters>17692</Characters>
  <Lines>147</Lines>
  <Paragraphs>41</Paragraphs>
  <TotalTime>58</TotalTime>
  <ScaleCrop>false</ScaleCrop>
  <LinksUpToDate>false</LinksUpToDate>
  <CharactersWithSpaces>20754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2020-12-27T09:50:00Z</dcterms:created>
  <dc:creator>Administrator</dc:creator>
  <cp:lastModifiedBy>佳人电脑</cp:lastModifiedBy>
  <cp:lastPrinted>2021-01-08T15:29:00Z</cp:lastPrinted>
  <dcterms:modified xsi:type="dcterms:W3CDTF">2021-01-08T15:29:17Z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561216644_btnclosed</vt:lpwstr>
  </property>
</Properties>
</file>