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8E" w:rsidRDefault="009A618E">
      <w:pPr>
        <w:spacing w:line="62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9A618E" w:rsidRDefault="009A618E">
      <w:pPr>
        <w:spacing w:line="62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9A618E" w:rsidRDefault="009A618E">
      <w:pPr>
        <w:spacing w:line="62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9A618E" w:rsidRDefault="009A618E">
      <w:pPr>
        <w:spacing w:line="62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9A618E" w:rsidRDefault="009A618E">
      <w:pPr>
        <w:spacing w:line="62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9A618E" w:rsidRDefault="00967B10">
      <w:pPr>
        <w:spacing w:line="560" w:lineRule="exact"/>
        <w:jc w:val="center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金政办〔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36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号</w:t>
      </w:r>
    </w:p>
    <w:p w:rsidR="009A618E" w:rsidRDefault="009A618E">
      <w:pPr>
        <w:spacing w:line="560" w:lineRule="exact"/>
        <w:jc w:val="center"/>
        <w:rPr>
          <w:rFonts w:ascii="Times New Roman" w:eastAsia="方正小标宋_GBK" w:hAnsi="Times New Roman" w:cs="Times New Roman"/>
          <w:kern w:val="21"/>
          <w:sz w:val="44"/>
          <w:szCs w:val="44"/>
        </w:rPr>
      </w:pPr>
    </w:p>
    <w:p w:rsidR="009A618E" w:rsidRDefault="009A618E">
      <w:pPr>
        <w:spacing w:line="560" w:lineRule="exact"/>
        <w:jc w:val="center"/>
        <w:rPr>
          <w:rFonts w:ascii="Times New Roman" w:eastAsia="方正小标宋_GBK" w:hAnsi="Times New Roman" w:cs="Times New Roman"/>
          <w:kern w:val="21"/>
          <w:sz w:val="44"/>
          <w:szCs w:val="44"/>
        </w:rPr>
      </w:pPr>
    </w:p>
    <w:p w:rsidR="009A618E" w:rsidRDefault="00967B10">
      <w:pPr>
        <w:spacing w:line="700" w:lineRule="exact"/>
        <w:jc w:val="center"/>
        <w:rPr>
          <w:rFonts w:ascii="Times New Roman" w:eastAsia="方正小标宋简体" w:hAnsi="Times New Roman" w:cs="Times New Roman"/>
          <w:kern w:val="21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t>关于印发</w:t>
      </w:r>
      <w:proofErr w:type="gramStart"/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t>《</w:t>
      </w:r>
      <w:proofErr w:type="gramEnd"/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t>金湖县镇街综合行政执法</w:t>
      </w:r>
    </w:p>
    <w:p w:rsidR="009A618E" w:rsidRDefault="00967B10">
      <w:pPr>
        <w:spacing w:line="700" w:lineRule="exact"/>
        <w:jc w:val="center"/>
        <w:rPr>
          <w:rFonts w:ascii="Times New Roman" w:eastAsia="方正小标宋简体" w:hAnsi="Times New Roman" w:cs="Times New Roman"/>
          <w:kern w:val="21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t>协调联动机制</w:t>
      </w:r>
      <w:proofErr w:type="gramStart"/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t>》</w:t>
      </w:r>
      <w:proofErr w:type="gramEnd"/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t>的通知</w:t>
      </w:r>
    </w:p>
    <w:p w:rsidR="009A618E" w:rsidRDefault="009A618E">
      <w:pPr>
        <w:spacing w:line="560" w:lineRule="exact"/>
        <w:rPr>
          <w:rFonts w:ascii="Times New Roman" w:eastAsia="方正仿宋简体" w:hAnsi="Times New Roman" w:cs="Times New Roman"/>
          <w:kern w:val="21"/>
          <w:sz w:val="32"/>
          <w:szCs w:val="32"/>
        </w:rPr>
      </w:pPr>
    </w:p>
    <w:p w:rsidR="009A618E" w:rsidRDefault="00967B10">
      <w:pPr>
        <w:spacing w:line="560" w:lineRule="exact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各镇人民政府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各街道办事处，县各委办局，县各直属单位：</w:t>
      </w:r>
    </w:p>
    <w:p w:rsidR="009A618E" w:rsidRDefault="00967B10">
      <w:pPr>
        <w:spacing w:line="560" w:lineRule="exact"/>
        <w:ind w:firstLine="645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现将《金湖县镇街综合行政执法协调联动机制》印发给你们，请结合实际，认真贯彻执行。</w:t>
      </w:r>
    </w:p>
    <w:p w:rsidR="009A618E" w:rsidRDefault="009A618E">
      <w:pPr>
        <w:spacing w:line="560" w:lineRule="exact"/>
        <w:ind w:firstLine="645"/>
        <w:rPr>
          <w:rFonts w:ascii="Times New Roman" w:eastAsia="方正仿宋简体" w:hAnsi="Times New Roman" w:cs="Times New Roman"/>
          <w:kern w:val="21"/>
          <w:sz w:val="32"/>
          <w:szCs w:val="32"/>
        </w:rPr>
      </w:pPr>
    </w:p>
    <w:p w:rsidR="009A618E" w:rsidRDefault="009A618E">
      <w:pPr>
        <w:spacing w:line="560" w:lineRule="exact"/>
        <w:ind w:firstLine="645"/>
        <w:rPr>
          <w:rFonts w:ascii="Times New Roman" w:eastAsia="方正仿宋简体" w:hAnsi="Times New Roman" w:cs="Times New Roman"/>
          <w:kern w:val="21"/>
          <w:sz w:val="32"/>
          <w:szCs w:val="32"/>
        </w:rPr>
      </w:pPr>
    </w:p>
    <w:p w:rsidR="009A618E" w:rsidRDefault="00967B10">
      <w:pPr>
        <w:spacing w:line="560" w:lineRule="exact"/>
        <w:ind w:firstLineChars="1181" w:firstLine="3779"/>
        <w:jc w:val="center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金湖县人民政府办公室</w:t>
      </w:r>
    </w:p>
    <w:p w:rsidR="009A618E" w:rsidRDefault="00967B10">
      <w:pPr>
        <w:spacing w:line="560" w:lineRule="exact"/>
        <w:ind w:firstLineChars="1181" w:firstLine="3779"/>
        <w:jc w:val="center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日</w:t>
      </w:r>
    </w:p>
    <w:p w:rsidR="009A618E" w:rsidRDefault="00285CF2" w:rsidP="00285CF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21"/>
          <w:sz w:val="32"/>
          <w:szCs w:val="32"/>
        </w:rPr>
      </w:pPr>
      <w:bookmarkStart w:id="0" w:name="_GoBack"/>
      <w:r>
        <w:rPr>
          <w:rFonts w:ascii="Times New Roman" w:eastAsia="方正仿宋简体" w:hAnsi="Times New Roman" w:cs="Times New Roman"/>
          <w:kern w:val="21"/>
          <w:sz w:val="32"/>
          <w:szCs w:val="32"/>
        </w:rPr>
        <w:t>（此件公开发布）</w:t>
      </w:r>
    </w:p>
    <w:bookmarkEnd w:id="0"/>
    <w:p w:rsidR="009A618E" w:rsidRDefault="009A618E">
      <w:pPr>
        <w:spacing w:line="560" w:lineRule="exact"/>
        <w:rPr>
          <w:rFonts w:ascii="Times New Roman" w:eastAsia="方正仿宋简体" w:hAnsi="Times New Roman" w:cs="Times New Roman"/>
          <w:kern w:val="21"/>
          <w:sz w:val="32"/>
          <w:szCs w:val="32"/>
        </w:rPr>
      </w:pPr>
    </w:p>
    <w:p w:rsidR="009A618E" w:rsidRDefault="009A618E">
      <w:pPr>
        <w:spacing w:line="560" w:lineRule="exact"/>
        <w:rPr>
          <w:rFonts w:ascii="Times New Roman" w:eastAsia="方正仿宋简体" w:hAnsi="Times New Roman" w:cs="Times New Roman"/>
          <w:kern w:val="21"/>
          <w:sz w:val="32"/>
          <w:szCs w:val="32"/>
        </w:rPr>
      </w:pPr>
    </w:p>
    <w:p w:rsidR="009A618E" w:rsidRDefault="00967B10">
      <w:pPr>
        <w:spacing w:line="700" w:lineRule="exact"/>
        <w:jc w:val="center"/>
        <w:rPr>
          <w:rFonts w:ascii="Times New Roman" w:eastAsia="方正小标宋简体" w:hAnsi="Times New Roman" w:cs="Times New Roman"/>
          <w:kern w:val="21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1"/>
          <w:sz w:val="44"/>
          <w:szCs w:val="44"/>
        </w:rPr>
        <w:lastRenderedPageBreak/>
        <w:t>金湖县镇街综合行政执法协调联动机制</w:t>
      </w:r>
    </w:p>
    <w:p w:rsidR="009A618E" w:rsidRDefault="009A618E">
      <w:pPr>
        <w:spacing w:line="560" w:lineRule="exact"/>
        <w:rPr>
          <w:rFonts w:ascii="Times New Roman" w:eastAsia="方正仿宋简体" w:hAnsi="Times New Roman" w:cs="Times New Roman"/>
          <w:kern w:val="21"/>
          <w:sz w:val="32"/>
          <w:szCs w:val="32"/>
        </w:rPr>
      </w:pPr>
    </w:p>
    <w:p w:rsidR="009A618E" w:rsidRDefault="00967B1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bCs/>
          <w:kern w:val="21"/>
          <w:sz w:val="32"/>
          <w:szCs w:val="32"/>
        </w:rPr>
        <w:t>省委办公厅</w:t>
      </w:r>
      <w:r>
        <w:rPr>
          <w:rFonts w:ascii="Times New Roman" w:eastAsia="仿宋_GB2312" w:hAnsi="Times New Roman" w:cs="Times New Roman"/>
          <w:bCs/>
          <w:kern w:val="2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kern w:val="21"/>
          <w:sz w:val="32"/>
          <w:szCs w:val="32"/>
        </w:rPr>
        <w:t>省政府办公厅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《关于深化综合行政执法体制改革的指导意见》（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苏办发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县政府《关于在全县镇街开展相对集中行政处罚权工作的实施意见》（金发〔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县委办公室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县政府办公室《关于印发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金湖县镇街开展相对集中行政处罚权工作实施方案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的通知》（金办发〔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79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号）精神，为切实加强镇（街道）与县级执法业务主管部门行政执法的协作配合，稳步推进镇街综合行政执法改革，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决定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建立镇街综合行政执法协调联动工作机制：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21"/>
          <w:sz w:val="32"/>
          <w:szCs w:val="32"/>
        </w:rPr>
      </w:pPr>
      <w:r>
        <w:rPr>
          <w:rFonts w:ascii="Times New Roman" w:eastAsia="黑体" w:hAnsi="Times New Roman" w:cs="Times New Roman"/>
          <w:kern w:val="21"/>
          <w:sz w:val="32"/>
          <w:szCs w:val="32"/>
        </w:rPr>
        <w:t>一、总体要求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按照县委、县政府深化镇街综合行政执法工作的总体部署，和责权明确、衔接有序、协作有力、运行顺畅的原则，科学合理划分镇（街道）与县级执法业务主管部门的职责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权限，明确各方职责，建立权责一致、资源共享、信息互通、协作通畅、权威高效的综合行政执法协调联动机制，着力提升镇和街道综合行政执法效能。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21"/>
          <w:sz w:val="32"/>
          <w:szCs w:val="32"/>
        </w:rPr>
      </w:pPr>
      <w:r>
        <w:rPr>
          <w:rFonts w:ascii="Times New Roman" w:eastAsia="黑体" w:hAnsi="Times New Roman" w:cs="Times New Roman"/>
          <w:kern w:val="21"/>
          <w:sz w:val="32"/>
          <w:szCs w:val="32"/>
        </w:rPr>
        <w:t>二、职责边界划分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根据《关于印发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金湖县推进基层整合审批服务执法力量实施方案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&gt;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的通知》（金办发〔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号）精神，以清单形式逐项界定双方职责边界，厘清行业监管与综合行政执法的关系，合理划分镇（街道）与县级执法业务主管部门的职责权限。各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镇（街道）要按照本单位行政处罚事项清单，接受县级执法业务主管部门的业务指导和监督，切实履行好行政处罚及其相关行政检查、行政强制职责。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执法业务主管部门要继续全面履行事中事后监管职责，根据相对集中行政处罚权范围，将执法依据、执法程序、执法标准、处罚裁量基准等全面、及时、准确提供给镇（街道），给予业务培训、政策指导和技术支持；会同属地镇（街道）协调基层执法行动，组织跨区域、重大执法行动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除党中央明确要求实行派驻体制的机构外，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县相关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部门派驻镇（街道）的执法机构原则上实行属地管理；继续实行派驻体制的，纳入镇（街道）统一指挥协调体系。镇（街道）负责派驻执法队伍的人员安排、日常考核、执法保障等日常管理工作，加强与县级业务主管部门联系。镇（街道）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要加强组织领导，统筹辖区内各派驻机构和执法力量，完善执法联动机制，消除监管盲区，实施区域内综合执法和联合执法。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21"/>
          <w:sz w:val="32"/>
          <w:szCs w:val="32"/>
        </w:rPr>
      </w:pPr>
      <w:r>
        <w:rPr>
          <w:rFonts w:ascii="Times New Roman" w:eastAsia="黑体" w:hAnsi="Times New Roman" w:cs="Times New Roman"/>
          <w:kern w:val="21"/>
          <w:sz w:val="32"/>
          <w:szCs w:val="32"/>
        </w:rPr>
        <w:t>三、工作制度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建立健全镇（街道）与县级执法业务主管部门之间的综合行政执法协调衔接机制，完善案件移送、相互告知、联合执法以及信息共享等工作制度。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（一）案件移送制度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县级执法业务主管部门应当与镇（街道）建立案件移送制度。案件移送应当以县级执法业务主管部门或镇人民政府（街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道办事处）的名义进行，不得以承办机构或内设机构的名义移送，法律法规规章明确规定的除外。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镇（街道）在行政执法过程中发现违法行为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属于县级执法业务主管部门管辖的，或县级执法业务主管部门在日常监管过程中发现违法行为属于镇（街道）管辖的，应当在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个工作日内移送给有管辖权的一方处理；情况紧急的，应当在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小时内移送有管辖权的一方处理。发现违法行为正在进行的，应当依法立即责令当事人停止违法行为，固定有关证据，并及时告知有管辖权的部门查处。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镇（街道）、县级执法业务主管部门在移送案件时，应形成基本违法事实的书面材料。移送的案件材料包括：涉嫌违法案件移送函、案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源材料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（现场检查记录、投诉举报材料等）、初步证明违法行为事实情况的相关证据材料等。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镇（街道）和县级执法业务主管部门应当在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个工作日内书面告知移送部门受理情况。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由于历史遗留问题需要移送的，相关县级执法业务主管部门应当事前与镇（街道）进行充分协商、视情依法处理。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（二）投诉举报受理告知制度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对于涉及划转行政处罚事项的举报或投诉，实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行首问责任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原则，率先接到投诉、举报的单位作为第一责任人予以处理。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镇（街道）接到群众投诉举报的，应当及时受理，经初步核实未发现违法行为的，由镇（街道）直接答复举报人或投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诉人；经核实需要实施行政处罚的，按职责权限应当及时立案调查处理；涉及无管辖权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需要移送的，应形成相关书面资料，移交有管辖权的部门处理。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执法业务主管部门接到的群众投诉举报，按权限应由镇（街道）处理的，要做好登记记录，及时告知投诉人或举报人向有管辖权的镇（街道）投诉举报，同时告知镇（街道）组织进行调查，依法受理；收到投诉人或举报人书面材料的，应将材料移交镇（街道）。县级执法业务主管部门做好违法行为调查处理的指导工作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县级执法业务主管部门告知镇（街道）处理的违法案件和镇（街道）自行受理的投诉举报案件，由镇（街道）告知投诉人或举报人调查处理结果，镇（街道）应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在案件办理结束后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个工作日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内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向告知的县级执法业务主管部门反馈调查处理结果。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（三）信息共享制度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县级执法业务主管部门与镇（街道）在各自行政执法过程中，应当互相通报、共享行政执法和相关行政管理信息。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信息共享主要内容：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涉及镇（街道）行政处罚事项设定依据的法律、法规、规章调整情况。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县级相关部门实施的与下放镇（街道）处罚事项有关的行政许可事项和监督管理信息。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的与县级执法业务主管部门执法密切相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关的行政处罚决定及执行情况，镇（街道）应按县级执法业务主管部门需要及时反馈。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镇（街道）综合行政执法相关的统计分析数据（包括县级执法业务主管部门因行业管理、统计分析、档案管理、上级督查考核等需要镇（街道）提供的数据资料）。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镇（街道）行政处罚事项的自由裁量标准及各类行政执法工作流程。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县级执法业务主管部门在履职过程中收集、掌握、制作的各类动态信息，包括行政检查记录、执法工作简报等。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投诉举报案件的受理与处理情况。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其他需要共享的执法信息。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要充分依托县和镇（街道）社会治理指挥中心，积极推进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监管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建设，实现各类行政执法信息的互联互通。县级各执法业务主管部门需要共享的执法信息，原则上应当自形成当日及时共享，因收集、整理等原因无法于当日共享的，可以适当延长共享期限（不超过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个工作日）。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（四）联合执法协商制度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与县级执法业务主管部门应建立联合执法协商制度，协商解决行政执法过程中遇到的普遍性问题和热点、焦点、难点问题，协商解决监管中相关管理和法律适用问题，协调推进重大联动执法工作等。协商会议应定期召开，也可视工作需要即时安排召开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镇（街道）对执法工作中发现的重大案件线索，可会同相关县级执法业务主管部门召开专题会议，研究具体案情，商讨相关对策，开展联合执法；镇（街道）在执法过程中，发现存在如重大治安、安全隐患等涉及其他部门管辖的违法行为的，应立即通知相关部门，接到通知的部门应立即派执法人员进行处理，对接到通知后拒不处理又不能说明理由的，镇（街道）应向县人民政府报告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镇（街道）组织开展执法行动，需要相关县级执法业务主管部门配合的，相关县级执法业务主管部门应当积极配合；相关县级执法业务主管部门在日常监管过程中，需要镇（街道）配合的，镇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（街道）也应积极配合。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镇（街道）与县级执法业务主管部门明确联合执法联络人，指定专人负责对接联络工作。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（五）执法协助制度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镇（街道）在行使行政执法职权中，发现认定违法事项需要由县级执法业务主管部门提供技术支撑的，应当及时书面函告该部门，该部门一般应在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个工作日内提出书面意见和相关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依据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材料，并移交镇（街道），作为实施行政处罚的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依据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；对于情况紧急或证据可能灭失的，相关县级执法业务主管部门应当及时派执法人员现场处置；对于情况特殊或认定过程所需时间较长的，相关县级执法业务主管部门应事先告知，可适当延长时间出具认定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结论；镇（街道）因办案需查阅、复制相关县级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执法业务主管部门档案等资料的，相关部门应积极支持，不得推诿、刁难。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（六）争议协调制度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与县级执法业务主管部门因行政执法依据、行政执法职责、联合执法、行政执法协助、移送行政执法案件等发生争议，应当及时自行协商解决。经自行协商达成一致意见的，应当制作会议纪要或者其他文件，自觉执行。经自行协商不能达成一致意见的，任何一方均可以向县司法局提出行政执法争议协调申请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，县司法局依法依规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行政执法监督建议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；仍无法达成一致意见的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提请县人民政府决定。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（七）司法衔接制度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kern w:val="21"/>
          <w:sz w:val="32"/>
          <w:szCs w:val="32"/>
        </w:rPr>
        <w:t>各镇（街道）要与公安机关、检察机关、审判机关建立信息共享、案情通报、案件移送制度，实现行政执法和刑事司法无缝对接。镇（街道）发现违法行为涉嫌犯罪的，应及时移交司法机关，不得以罚代刑。当事人不履行行政决定的，镇（街道）应依法强制执行或向人民法院申请强制执行。对以暴力、危险等手段阻碍综合行政执法人员依法执行公务的，公安机关应及时依法查处；构成犯罪的，依法追究刑事责任。</w:t>
      </w:r>
    </w:p>
    <w:p w:rsidR="009A618E" w:rsidRDefault="00967B10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21"/>
          <w:sz w:val="32"/>
          <w:szCs w:val="32"/>
        </w:rPr>
      </w:pPr>
      <w:r>
        <w:rPr>
          <w:rFonts w:ascii="Times New Roman" w:eastAsia="黑体" w:hAnsi="Times New Roman" w:cs="Times New Roman"/>
          <w:kern w:val="21"/>
          <w:sz w:val="32"/>
          <w:szCs w:val="32"/>
        </w:rPr>
        <w:t>四、组织保障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（一）加强组织领导。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镇街综合行政执法协调联动机制政策性强，涉及面广，各镇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街道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、县级各执法业务主管部门要增强政治意识、大局意识和责任意识，加强组织领导，推动镇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lastRenderedPageBreak/>
        <w:t>街综合行政执法工作的开展。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（二）落实工作责任。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各镇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街道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、县级各执法业务主管部门要围绕全局，主动作为，积极开展对接，不断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完善镇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街综合行政执法协调联动机制，充分加强协作配合，确保各项工作落到实处。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（三）完善执法保障。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县级各执法业务主管部门要积极支持各镇、各街道开展综合行政执法工作，帮助解决工作中遇到的实际困难和问题。机构编制、司法、公安、财政、</w:t>
      </w:r>
      <w:proofErr w:type="gramStart"/>
      <w:r>
        <w:rPr>
          <w:rFonts w:ascii="Times New Roman" w:eastAsia="仿宋_GB2312" w:hAnsi="Times New Roman" w:cs="Times New Roman"/>
          <w:kern w:val="21"/>
          <w:sz w:val="32"/>
          <w:szCs w:val="32"/>
        </w:rPr>
        <w:t>人社等</w:t>
      </w:r>
      <w:proofErr w:type="gramEnd"/>
      <w:r>
        <w:rPr>
          <w:rFonts w:ascii="Times New Roman" w:eastAsia="仿宋_GB2312" w:hAnsi="Times New Roman" w:cs="Times New Roman"/>
          <w:kern w:val="21"/>
          <w:sz w:val="32"/>
          <w:szCs w:val="32"/>
        </w:rPr>
        <w:t>部门和其他执法业务主管部门要密切配合、通力协作，及时落实好改革推进中涉及的职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责整合、法制监督、公安保障、经费保障、队伍建设等事项，按照职责分工做好相关工作，建立健全常态化、长效化工作机制。</w:t>
      </w:r>
    </w:p>
    <w:p w:rsidR="009A618E" w:rsidRDefault="00967B1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kern w:val="21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1"/>
          <w:sz w:val="32"/>
          <w:szCs w:val="32"/>
        </w:rPr>
        <w:t>（四）强化执法监督。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强化对县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镇（街道）协调配合责任的刚性约束，将协调配合落实情况纳入法治政府考核的内容。对在综合行政执法协作联动过程中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推进</w:t>
      </w:r>
      <w:r>
        <w:rPr>
          <w:rFonts w:ascii="Times New Roman" w:eastAsia="仿宋_GB2312" w:hAnsi="Times New Roman" w:cs="Times New Roman"/>
          <w:kern w:val="21"/>
          <w:sz w:val="32"/>
          <w:szCs w:val="32"/>
        </w:rPr>
        <w:t>不力、推诿扯皮的行为，按规定追究有关镇（街道）、部门和人员的责任。</w:t>
      </w:r>
    </w:p>
    <w:p w:rsidR="009A618E" w:rsidRDefault="009A618E">
      <w:pPr>
        <w:wordWrap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618E" w:rsidRDefault="009A618E">
      <w:pPr>
        <w:wordWrap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618E" w:rsidRDefault="009A618E">
      <w:pPr>
        <w:wordWrap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618E" w:rsidRDefault="009A618E">
      <w:pPr>
        <w:rPr>
          <w:rFonts w:ascii="Times New Roman" w:hAnsi="Times New Roman" w:cs="Times New Roman"/>
        </w:rPr>
      </w:pPr>
    </w:p>
    <w:p w:rsidR="009A618E" w:rsidRDefault="009A618E">
      <w:pPr>
        <w:rPr>
          <w:rFonts w:ascii="Times New Roman" w:hAnsi="Times New Roman" w:cs="Times New Roman"/>
        </w:rPr>
      </w:pPr>
    </w:p>
    <w:p w:rsidR="009A618E" w:rsidRDefault="009A618E">
      <w:pPr>
        <w:rPr>
          <w:rFonts w:ascii="Times New Roman" w:hAnsi="Times New Roman" w:cs="Times New Roman"/>
        </w:rPr>
      </w:pPr>
    </w:p>
    <w:p w:rsidR="009A618E" w:rsidRDefault="009A618E">
      <w:pPr>
        <w:wordWrap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A618E" w:rsidRDefault="00967B10">
      <w:pPr>
        <w:spacing w:line="560" w:lineRule="exact"/>
        <w:ind w:right="28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41910</wp:posOffset>
                </wp:positionV>
                <wp:extent cx="5544185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0.15pt;margin-top:3.3pt;height:0.05pt;width:436.55pt;z-index:251661312;mso-width-relative:page;mso-height-relative:page;" filled="f" stroked="t" coordsize="21600,21600" o:gfxdata="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DgW3dYAAAAGAQAADwAAAAAAAAABACAA&#10;AAAiAAAAZHJzL2Rvd25yZXYueG1sUEsBAhQAFAAAAAgAh07iQCQtsH8PAgAAEQQAAA4AAAAAAAAA&#10;AQAgAAAAJQEAAGRycy9lMm9Eb2MueG1sUEsFBgAAAAAGAAYAWQEAAK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389890</wp:posOffset>
                </wp:positionV>
                <wp:extent cx="5544185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-0.1pt;margin-top:30.7pt;height:0.05pt;width:436.55pt;z-index:251660288;mso-width-relative:page;mso-height-relative:page;" filled="f" stroked="t" coordsize="21600,21600" o:gfxdata="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iRnT1QAAAAcBAAAPAAAAAAAAAAEAIAAA&#10;ACIAAABkcnMvZG93bnJldi54bWxQSwECFAAUAAAACACHTuJAJLv4dQ8CAAARBAAADgAAAAAAAAAB&#10;ACAAAAAkAQAAZHJzL2Uyb0RvYy54bWxQSwUGAAAAAAYABgBZAQAApQ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金湖县人民政府办公室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　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17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sectPr w:rsidR="009A618E">
      <w:footerReference w:type="default" r:id="rId9"/>
      <w:pgSz w:w="11906" w:h="16838"/>
      <w:pgMar w:top="2098" w:right="1587" w:bottom="1984" w:left="1588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10" w:rsidRDefault="00967B10">
      <w:r>
        <w:separator/>
      </w:r>
    </w:p>
  </w:endnote>
  <w:endnote w:type="continuationSeparator" w:id="0">
    <w:p w:rsidR="00967B10" w:rsidRDefault="0096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8E" w:rsidRDefault="00967B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618E" w:rsidRDefault="00967B1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5CF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8nBAMAAMwGAAAOAAAAZHJzL2Uyb0RvYy54bWysVc1uEzEQviPxDpbv291NN+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hw3I98QHcCyblwvlAF5NhZ28l8HEbDi/QiTYKkN7gIkijPg0kxTYJBEZ/08+N8Os3jTy5fnIwW&#10;dVky4e5rWRInfzaFHV+38+14YiSvS5fOleTZzqZcoyUBnnLrAYbaD7zC+1V43KCpBx3FvSQ67w2D&#10;YpCeBEmR9IPhSZQGUTw8Hw6i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N4rXy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9A618E" w:rsidRDefault="00967B1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85CF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10" w:rsidRDefault="00967B10">
      <w:r>
        <w:separator/>
      </w:r>
    </w:p>
  </w:footnote>
  <w:footnote w:type="continuationSeparator" w:id="0">
    <w:p w:rsidR="00967B10" w:rsidRDefault="00967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8"/>
    <w:rsid w:val="00011FA5"/>
    <w:rsid w:val="00034A65"/>
    <w:rsid w:val="0005688E"/>
    <w:rsid w:val="000571D4"/>
    <w:rsid w:val="0006197E"/>
    <w:rsid w:val="000D4839"/>
    <w:rsid w:val="00122C41"/>
    <w:rsid w:val="00173518"/>
    <w:rsid w:val="001770A9"/>
    <w:rsid w:val="0018007F"/>
    <w:rsid w:val="001B342B"/>
    <w:rsid w:val="002165FB"/>
    <w:rsid w:val="00235572"/>
    <w:rsid w:val="0025409D"/>
    <w:rsid w:val="002722FA"/>
    <w:rsid w:val="00285CF2"/>
    <w:rsid w:val="002907CF"/>
    <w:rsid w:val="002B4E76"/>
    <w:rsid w:val="002F6D88"/>
    <w:rsid w:val="002F7607"/>
    <w:rsid w:val="0033265D"/>
    <w:rsid w:val="00351759"/>
    <w:rsid w:val="003B6769"/>
    <w:rsid w:val="003D4A8F"/>
    <w:rsid w:val="003D7221"/>
    <w:rsid w:val="00400911"/>
    <w:rsid w:val="00403BE2"/>
    <w:rsid w:val="004261FF"/>
    <w:rsid w:val="00440E96"/>
    <w:rsid w:val="00453F18"/>
    <w:rsid w:val="00485345"/>
    <w:rsid w:val="004B474F"/>
    <w:rsid w:val="004C5428"/>
    <w:rsid w:val="004C542D"/>
    <w:rsid w:val="004E040D"/>
    <w:rsid w:val="00501DFC"/>
    <w:rsid w:val="005109DC"/>
    <w:rsid w:val="0058087F"/>
    <w:rsid w:val="00596E0D"/>
    <w:rsid w:val="005C0D36"/>
    <w:rsid w:val="005D451C"/>
    <w:rsid w:val="005E4F38"/>
    <w:rsid w:val="005F73E3"/>
    <w:rsid w:val="00637C67"/>
    <w:rsid w:val="00642588"/>
    <w:rsid w:val="00642FE7"/>
    <w:rsid w:val="00665876"/>
    <w:rsid w:val="006A59B0"/>
    <w:rsid w:val="006B216B"/>
    <w:rsid w:val="006C21DF"/>
    <w:rsid w:val="00705CF0"/>
    <w:rsid w:val="00726F92"/>
    <w:rsid w:val="00737B1A"/>
    <w:rsid w:val="0076773E"/>
    <w:rsid w:val="00775670"/>
    <w:rsid w:val="00776758"/>
    <w:rsid w:val="00776C87"/>
    <w:rsid w:val="00777C32"/>
    <w:rsid w:val="007B0217"/>
    <w:rsid w:val="007D21A7"/>
    <w:rsid w:val="008258AE"/>
    <w:rsid w:val="008A136F"/>
    <w:rsid w:val="008B6B29"/>
    <w:rsid w:val="008B6C3B"/>
    <w:rsid w:val="008F3802"/>
    <w:rsid w:val="00967B10"/>
    <w:rsid w:val="009A5106"/>
    <w:rsid w:val="009A618E"/>
    <w:rsid w:val="009B130D"/>
    <w:rsid w:val="009B304C"/>
    <w:rsid w:val="009F263E"/>
    <w:rsid w:val="00A00CB5"/>
    <w:rsid w:val="00A431E5"/>
    <w:rsid w:val="00AD3F21"/>
    <w:rsid w:val="00AE3192"/>
    <w:rsid w:val="00AF7289"/>
    <w:rsid w:val="00B02D17"/>
    <w:rsid w:val="00B206A3"/>
    <w:rsid w:val="00B32648"/>
    <w:rsid w:val="00BB28D0"/>
    <w:rsid w:val="00BB3FAF"/>
    <w:rsid w:val="00BB45F9"/>
    <w:rsid w:val="00BB71B3"/>
    <w:rsid w:val="00C0026C"/>
    <w:rsid w:val="00C053CB"/>
    <w:rsid w:val="00C3796C"/>
    <w:rsid w:val="00C66BBA"/>
    <w:rsid w:val="00C934B3"/>
    <w:rsid w:val="00CB4D4D"/>
    <w:rsid w:val="00CB7354"/>
    <w:rsid w:val="00CD3358"/>
    <w:rsid w:val="00D04362"/>
    <w:rsid w:val="00D10CE1"/>
    <w:rsid w:val="00D13578"/>
    <w:rsid w:val="00D33407"/>
    <w:rsid w:val="00D51AE8"/>
    <w:rsid w:val="00D57B1F"/>
    <w:rsid w:val="00D630A1"/>
    <w:rsid w:val="00D863D6"/>
    <w:rsid w:val="00DB79C4"/>
    <w:rsid w:val="00DC0F11"/>
    <w:rsid w:val="00DD4AD6"/>
    <w:rsid w:val="00DD55DA"/>
    <w:rsid w:val="00DE6D94"/>
    <w:rsid w:val="00E2676A"/>
    <w:rsid w:val="00E31BF1"/>
    <w:rsid w:val="00E3331B"/>
    <w:rsid w:val="00E84331"/>
    <w:rsid w:val="00F1753D"/>
    <w:rsid w:val="00FA0978"/>
    <w:rsid w:val="00FD6D91"/>
    <w:rsid w:val="0124657D"/>
    <w:rsid w:val="053C4603"/>
    <w:rsid w:val="0FC477BE"/>
    <w:rsid w:val="18171386"/>
    <w:rsid w:val="2BDB7FE9"/>
    <w:rsid w:val="2D843862"/>
    <w:rsid w:val="2FB126A1"/>
    <w:rsid w:val="349A7160"/>
    <w:rsid w:val="35BB609B"/>
    <w:rsid w:val="384D7C8B"/>
    <w:rsid w:val="3B1F322C"/>
    <w:rsid w:val="3EF213A5"/>
    <w:rsid w:val="41157147"/>
    <w:rsid w:val="4B212A35"/>
    <w:rsid w:val="5214083A"/>
    <w:rsid w:val="5E7948E3"/>
    <w:rsid w:val="621925F9"/>
    <w:rsid w:val="672A7A0A"/>
    <w:rsid w:val="69327A0E"/>
    <w:rsid w:val="6AE00882"/>
    <w:rsid w:val="6BAD26CE"/>
    <w:rsid w:val="774C71C1"/>
    <w:rsid w:val="77781D95"/>
    <w:rsid w:val="7A120607"/>
    <w:rsid w:val="7E6305F9"/>
    <w:rsid w:val="7FC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ab">
    <w:name w:val="线型"/>
    <w:basedOn w:val="a"/>
    <w:qFormat/>
    <w:pPr>
      <w:autoSpaceDE w:val="0"/>
      <w:autoSpaceDN w:val="0"/>
      <w:adjustRightInd w:val="0"/>
      <w:snapToGrid w:val="0"/>
      <w:ind w:right="357"/>
      <w:jc w:val="center"/>
    </w:pPr>
    <w:rPr>
      <w:rFonts w:ascii="Times New Roman" w:eastAsia="方正仿宋_GBK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ab">
    <w:name w:val="线型"/>
    <w:basedOn w:val="a"/>
    <w:qFormat/>
    <w:pPr>
      <w:autoSpaceDE w:val="0"/>
      <w:autoSpaceDN w:val="0"/>
      <w:adjustRightInd w:val="0"/>
      <w:snapToGrid w:val="0"/>
      <w:ind w:right="357"/>
      <w:jc w:val="center"/>
    </w:pPr>
    <w:rPr>
      <w:rFonts w:ascii="Times New Roman" w:eastAsia="方正仿宋_GBK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BBFFA-8BC0-492A-86EC-813A6786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624</Words>
  <Characters>3563</Characters>
  <Application>Microsoft Office Word</Application>
  <DocSecurity>0</DocSecurity>
  <Lines>29</Lines>
  <Paragraphs>8</Paragraphs>
  <ScaleCrop>false</ScaleCrop>
  <Company>微软中国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郑万荣</cp:lastModifiedBy>
  <cp:revision>3</cp:revision>
  <cp:lastPrinted>2021-06-21T01:54:00Z</cp:lastPrinted>
  <dcterms:created xsi:type="dcterms:W3CDTF">2021-05-28T06:51:00Z</dcterms:created>
  <dcterms:modified xsi:type="dcterms:W3CDTF">2021-07-06T14:03:00Z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241853907_btnclosed</vt:lpwstr>
  </property>
  <property fmtid="{D5CDD505-2E9C-101B-9397-08002B2CF9AE}" pid="3" name="KSOProductBuildVer">
    <vt:lpwstr>2052-11.1.0.10577</vt:lpwstr>
  </property>
  <property fmtid="{D5CDD505-2E9C-101B-9397-08002B2CF9AE}" pid="4" name="ICV">
    <vt:lpwstr>932A8B10836A4C4584F61BB43B39F5E7</vt:lpwstr>
  </property>
</Properties>
</file>