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sz w:val="32"/>
          <w:szCs w:val="32"/>
        </w:rPr>
      </w:pPr>
    </w:p>
    <w:p>
      <w:pPr>
        <w:ind w:firstLine="0" w:firstLineChars="0"/>
        <w:jc w:val="center"/>
        <w:rPr>
          <w:rFonts w:hint="default" w:ascii="Times New Roman" w:hAnsi="Times New Roman" w:cs="Times New Roman"/>
          <w:sz w:val="32"/>
          <w:szCs w:val="32"/>
        </w:rPr>
      </w:pPr>
      <w:r>
        <w:rPr>
          <w:rFonts w:hint="default" w:ascii="Times New Roman" w:hAnsi="Times New Roman" w:cs="Times New Roman"/>
          <w:sz w:val="32"/>
          <w:szCs w:val="32"/>
        </w:rPr>
        <w:t>金政发〔2022〕29号</w:t>
      </w:r>
    </w:p>
    <w:p>
      <w:pPr>
        <w:jc w:val="center"/>
        <w:rPr>
          <w:rFonts w:hint="default" w:ascii="Times New Roman" w:hAnsi="Times New Roman" w:cs="Times New Roman"/>
          <w:sz w:val="32"/>
          <w:szCs w:val="32"/>
        </w:rPr>
      </w:pPr>
    </w:p>
    <w:p>
      <w:pPr>
        <w:rPr>
          <w:rFonts w:hint="default" w:ascii="Times New Roman" w:hAnsi="Times New Roman" w:cs="Times New Roman"/>
          <w:sz w:val="32"/>
          <w:szCs w:val="32"/>
        </w:rPr>
      </w:pPr>
    </w:p>
    <w:p>
      <w:pPr>
        <w:ind w:firstLine="0" w:firstLineChars="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关于公布金湖县</w:t>
      </w:r>
      <w:r>
        <w:rPr>
          <w:rFonts w:hint="default" w:ascii="Times New Roman" w:hAnsi="Times New Roman" w:eastAsia="方正小标宋_GBK" w:cs="Times New Roman"/>
          <w:bCs/>
          <w:spacing w:val="-20"/>
          <w:sz w:val="44"/>
          <w:szCs w:val="44"/>
        </w:rPr>
        <w:t>2020</w:t>
      </w:r>
      <w:r>
        <w:rPr>
          <w:rFonts w:hint="default" w:ascii="Times New Roman" w:hAnsi="Times New Roman" w:eastAsia="方正小标宋_GBK" w:cs="Times New Roman"/>
          <w:bCs/>
          <w:sz w:val="44"/>
          <w:szCs w:val="44"/>
        </w:rPr>
        <w:t>年度公示地价成果的</w:t>
      </w:r>
    </w:p>
    <w:p>
      <w:pPr>
        <w:ind w:firstLine="0" w:firstLineChars="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通</w:t>
      </w:r>
      <w:r>
        <w:rPr>
          <w:rFonts w:hint="eastAsia" w:eastAsia="方正小标宋_GBK" w:cs="Times New Roman"/>
          <w:bCs/>
          <w:sz w:val="44"/>
          <w:szCs w:val="44"/>
          <w:lang w:val="en-US" w:eastAsia="zh-CN"/>
        </w:rPr>
        <w:t xml:space="preserve">     </w:t>
      </w:r>
      <w:r>
        <w:rPr>
          <w:rFonts w:hint="default" w:ascii="Times New Roman" w:hAnsi="Times New Roman" w:eastAsia="方正小标宋_GBK" w:cs="Times New Roman"/>
          <w:bCs/>
          <w:sz w:val="44"/>
          <w:szCs w:val="44"/>
        </w:rPr>
        <w:t>告</w:t>
      </w:r>
    </w:p>
    <w:p>
      <w:pPr>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根据《江苏省自然资源厅关于加快推进公示地价体系建设的通知》（苏自然资函〔2020〕400号）、《江苏省自然资源厅转发自然资源部办公厅关于部署开展2020年度自然资源评价评估工作的通知》（苏自然资函〔2020〕512号）等规定，我县开展了2020年度公示地价体系建设工作，并按要求完成相关工作。经县政府研究决定，现将2020年度公示地价体系建设成果公布。</w:t>
      </w:r>
    </w:p>
    <w:p>
      <w:pPr>
        <w:pStyle w:val="8"/>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default" w:ascii="Times New Roman" w:hAnsi="Times New Roman" w:eastAsia="黑体" w:cs="Times New Roman"/>
          <w:b w:val="0"/>
        </w:rPr>
      </w:pPr>
      <w:r>
        <w:rPr>
          <w:rFonts w:hint="default" w:ascii="Times New Roman" w:hAnsi="Times New Roman" w:eastAsia="黑体" w:cs="Times New Roman"/>
          <w:b w:val="0"/>
        </w:rPr>
        <w:t>一、2020年度城镇国有建设用地基准地价</w:t>
      </w:r>
    </w:p>
    <w:p>
      <w:pPr>
        <w:keepNext w:val="0"/>
        <w:keepLines w:val="0"/>
        <w:pageBreakBefore w:val="0"/>
        <w:widowControl w:val="0"/>
        <w:kinsoku/>
        <w:wordWrap/>
        <w:overflowPunct/>
        <w:topLinePunct w:val="0"/>
        <w:autoSpaceDE/>
        <w:autoSpaceDN/>
        <w:bidi w:val="0"/>
        <w:adjustRightInd/>
        <w:snapToGrid/>
        <w:spacing w:line="550" w:lineRule="exact"/>
        <w:ind w:firstLine="643"/>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（一）基准地价内涵</w:t>
      </w: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基准地价是在国土空间规划确定的范围内，对不同级别或不同均质区域，按照不同利用类型分别评估，并由政府确定，分别评估确定的某一估价期日法定最高使用年期土地权利的区域平均价格。它是在设定估价基准日、设定土地开发程度、设定使用年期下出让建设用地使用权的区域平均价格。基准地价的表现形式为级别基准地价。</w:t>
      </w:r>
    </w:p>
    <w:p>
      <w:pPr>
        <w:keepNext w:val="0"/>
        <w:keepLines w:val="0"/>
        <w:pageBreakBefore w:val="0"/>
        <w:widowControl w:val="0"/>
        <w:kinsoku/>
        <w:wordWrap/>
        <w:overflowPunct/>
        <w:topLinePunct w:val="0"/>
        <w:autoSpaceDE/>
        <w:autoSpaceDN/>
        <w:bidi w:val="0"/>
        <w:adjustRightInd/>
        <w:snapToGrid/>
        <w:spacing w:line="550" w:lineRule="exact"/>
        <w:ind w:firstLine="643"/>
        <w:jc w:val="both"/>
        <w:textAlignment w:val="auto"/>
        <w:rPr>
          <w:rFonts w:hint="default" w:ascii="Times New Roman" w:hAnsi="Times New Roman" w:cs="Times New Roman"/>
          <w:sz w:val="32"/>
          <w:szCs w:val="32"/>
        </w:rPr>
      </w:pPr>
      <w:r>
        <w:rPr>
          <w:rFonts w:hint="default" w:ascii="Times New Roman" w:hAnsi="Times New Roman" w:cs="Times New Roman"/>
          <w:b/>
          <w:sz w:val="32"/>
          <w:szCs w:val="32"/>
        </w:rPr>
        <w:t>1.</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估价基准日：</w:t>
      </w:r>
      <w:r>
        <w:rPr>
          <w:rFonts w:hint="default" w:ascii="Times New Roman" w:hAnsi="Times New Roman" w:cs="Times New Roman"/>
          <w:sz w:val="32"/>
          <w:szCs w:val="32"/>
        </w:rPr>
        <w:t>2021年1月1日。</w:t>
      </w:r>
    </w:p>
    <w:p>
      <w:pPr>
        <w:keepNext w:val="0"/>
        <w:keepLines w:val="0"/>
        <w:pageBreakBefore w:val="0"/>
        <w:widowControl w:val="0"/>
        <w:kinsoku/>
        <w:wordWrap/>
        <w:overflowPunct/>
        <w:topLinePunct w:val="0"/>
        <w:autoSpaceDE/>
        <w:autoSpaceDN/>
        <w:bidi w:val="0"/>
        <w:adjustRightInd/>
        <w:snapToGrid/>
        <w:spacing w:line="550" w:lineRule="exact"/>
        <w:ind w:firstLine="643"/>
        <w:jc w:val="both"/>
        <w:textAlignment w:val="auto"/>
        <w:rPr>
          <w:rFonts w:hint="default" w:ascii="Times New Roman" w:hAnsi="Times New Roman" w:cs="Times New Roman"/>
          <w:sz w:val="32"/>
          <w:szCs w:val="32"/>
        </w:rPr>
      </w:pPr>
      <w:r>
        <w:rPr>
          <w:rFonts w:hint="default" w:ascii="Times New Roman" w:hAnsi="Times New Roman" w:cs="Times New Roman"/>
          <w:b/>
          <w:sz w:val="32"/>
          <w:szCs w:val="32"/>
        </w:rPr>
        <w:t>2.</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土地用途：</w:t>
      </w:r>
      <w:r>
        <w:rPr>
          <w:rFonts w:hint="default" w:ascii="Times New Roman" w:hAnsi="Times New Roman" w:cs="Times New Roman"/>
          <w:sz w:val="32"/>
          <w:szCs w:val="32"/>
        </w:rPr>
        <w:t>商服用地、住宅用地、工业用地和公共管理与公共服务用地。</w:t>
      </w:r>
    </w:p>
    <w:p>
      <w:pPr>
        <w:keepNext w:val="0"/>
        <w:keepLines w:val="0"/>
        <w:pageBreakBefore w:val="0"/>
        <w:widowControl w:val="0"/>
        <w:kinsoku/>
        <w:wordWrap/>
        <w:overflowPunct/>
        <w:topLinePunct w:val="0"/>
        <w:autoSpaceDE/>
        <w:autoSpaceDN/>
        <w:bidi w:val="0"/>
        <w:adjustRightInd/>
        <w:snapToGrid/>
        <w:spacing w:line="550" w:lineRule="exact"/>
        <w:ind w:firstLine="643"/>
        <w:jc w:val="both"/>
        <w:textAlignment w:val="auto"/>
        <w:rPr>
          <w:rFonts w:hint="default" w:ascii="Times New Roman" w:hAnsi="Times New Roman" w:cs="Times New Roman"/>
          <w:sz w:val="32"/>
          <w:szCs w:val="32"/>
        </w:rPr>
      </w:pPr>
      <w:r>
        <w:rPr>
          <w:rFonts w:hint="default" w:ascii="Times New Roman" w:hAnsi="Times New Roman" w:cs="Times New Roman"/>
          <w:b/>
          <w:sz w:val="32"/>
          <w:szCs w:val="32"/>
        </w:rPr>
        <w:t>3.</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开发水平：</w:t>
      </w:r>
      <w:r>
        <w:rPr>
          <w:rFonts w:hint="default" w:ascii="Times New Roman" w:hAnsi="Times New Roman" w:cs="Times New Roman"/>
          <w:sz w:val="32"/>
          <w:szCs w:val="32"/>
        </w:rPr>
        <w:t>根据各均质区域内同一用途现状平均土地开发程度或2/3以上面积已经达到的宗地红线外基础设施平均水平、宗地红线内“场地平整”设定土地开发水平。</w:t>
      </w:r>
    </w:p>
    <w:p>
      <w:pPr>
        <w:keepNext w:val="0"/>
        <w:keepLines w:val="0"/>
        <w:pageBreakBefore w:val="0"/>
        <w:widowControl w:val="0"/>
        <w:kinsoku/>
        <w:wordWrap/>
        <w:overflowPunct/>
        <w:topLinePunct w:val="0"/>
        <w:autoSpaceDE/>
        <w:autoSpaceDN/>
        <w:bidi w:val="0"/>
        <w:adjustRightInd/>
        <w:snapToGrid/>
        <w:spacing w:line="550" w:lineRule="exact"/>
        <w:ind w:firstLine="643"/>
        <w:jc w:val="both"/>
        <w:textAlignment w:val="auto"/>
        <w:rPr>
          <w:rFonts w:hint="default" w:ascii="Times New Roman" w:hAnsi="Times New Roman" w:cs="Times New Roman"/>
          <w:sz w:val="32"/>
          <w:szCs w:val="32"/>
        </w:rPr>
      </w:pPr>
      <w:r>
        <w:rPr>
          <w:rFonts w:hint="default" w:ascii="Times New Roman" w:hAnsi="Times New Roman" w:cs="Times New Roman"/>
          <w:b/>
          <w:sz w:val="32"/>
          <w:szCs w:val="32"/>
        </w:rPr>
        <w:t>4.</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容积率：</w:t>
      </w:r>
      <w:r>
        <w:rPr>
          <w:rFonts w:hint="default" w:ascii="Times New Roman" w:hAnsi="Times New Roman" w:cs="Times New Roman"/>
          <w:sz w:val="32"/>
          <w:szCs w:val="32"/>
        </w:rPr>
        <w:t>依据各用地类型样点的容积率平均数确定均质区域设定容积率。</w:t>
      </w:r>
    </w:p>
    <w:p>
      <w:pPr>
        <w:keepNext w:val="0"/>
        <w:keepLines w:val="0"/>
        <w:pageBreakBefore w:val="0"/>
        <w:widowControl w:val="0"/>
        <w:kinsoku/>
        <w:wordWrap/>
        <w:overflowPunct/>
        <w:topLinePunct w:val="0"/>
        <w:autoSpaceDE/>
        <w:autoSpaceDN/>
        <w:bidi w:val="0"/>
        <w:adjustRightInd/>
        <w:snapToGrid/>
        <w:spacing w:line="550" w:lineRule="exact"/>
        <w:ind w:firstLine="643"/>
        <w:jc w:val="both"/>
        <w:textAlignment w:val="auto"/>
        <w:rPr>
          <w:rFonts w:hint="default" w:ascii="Times New Roman" w:hAnsi="Times New Roman" w:cs="Times New Roman"/>
          <w:sz w:val="32"/>
          <w:szCs w:val="32"/>
        </w:rPr>
      </w:pPr>
      <w:r>
        <w:rPr>
          <w:rFonts w:hint="default" w:ascii="Times New Roman" w:hAnsi="Times New Roman" w:cs="Times New Roman"/>
          <w:b/>
          <w:sz w:val="32"/>
          <w:szCs w:val="32"/>
        </w:rPr>
        <w:t>5.</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土地使用年期：</w:t>
      </w:r>
      <w:r>
        <w:rPr>
          <w:rFonts w:hint="default" w:ascii="Times New Roman" w:hAnsi="Times New Roman" w:cs="Times New Roman"/>
          <w:sz w:val="32"/>
          <w:szCs w:val="32"/>
        </w:rPr>
        <w:t>商服用地40年，住宅用地70年，工矿仓储用地50年，公共管理与公共服务用地50年。</w:t>
      </w:r>
    </w:p>
    <w:p>
      <w:pPr>
        <w:keepNext w:val="0"/>
        <w:keepLines w:val="0"/>
        <w:pageBreakBefore w:val="0"/>
        <w:widowControl w:val="0"/>
        <w:kinsoku/>
        <w:wordWrap/>
        <w:overflowPunct/>
        <w:topLinePunct w:val="0"/>
        <w:autoSpaceDE/>
        <w:autoSpaceDN/>
        <w:bidi w:val="0"/>
        <w:adjustRightInd/>
        <w:snapToGrid/>
        <w:spacing w:line="550" w:lineRule="exact"/>
        <w:ind w:firstLine="643"/>
        <w:jc w:val="both"/>
        <w:textAlignment w:val="auto"/>
        <w:rPr>
          <w:rFonts w:hint="default" w:ascii="Times New Roman" w:hAnsi="Times New Roman" w:cs="Times New Roman"/>
          <w:sz w:val="32"/>
          <w:szCs w:val="32"/>
        </w:rPr>
      </w:pPr>
      <w:r>
        <w:rPr>
          <w:rFonts w:hint="default" w:ascii="Times New Roman" w:hAnsi="Times New Roman" w:cs="Times New Roman"/>
          <w:b/>
          <w:sz w:val="32"/>
          <w:szCs w:val="32"/>
        </w:rPr>
        <w:t>6.</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土地权利状况：</w:t>
      </w:r>
      <w:r>
        <w:rPr>
          <w:rFonts w:hint="default" w:ascii="Times New Roman" w:hAnsi="Times New Roman" w:cs="Times New Roman"/>
          <w:sz w:val="32"/>
          <w:szCs w:val="32"/>
        </w:rPr>
        <w:t>界定为出让国有建设用地使用权价格。</w:t>
      </w:r>
    </w:p>
    <w:p>
      <w:pPr>
        <w:keepNext w:val="0"/>
        <w:keepLines w:val="0"/>
        <w:pageBreakBefore w:val="0"/>
        <w:widowControl w:val="0"/>
        <w:kinsoku/>
        <w:wordWrap/>
        <w:overflowPunct/>
        <w:topLinePunct w:val="0"/>
        <w:autoSpaceDE/>
        <w:autoSpaceDN/>
        <w:bidi w:val="0"/>
        <w:adjustRightInd/>
        <w:snapToGrid/>
        <w:spacing w:line="550" w:lineRule="exact"/>
        <w:ind w:firstLine="643"/>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（二）级别基准地价</w:t>
      </w:r>
    </w:p>
    <w:p>
      <w:pPr>
        <w:keepNext w:val="0"/>
        <w:keepLines w:val="0"/>
        <w:pageBreakBefore w:val="0"/>
        <w:widowControl w:val="0"/>
        <w:kinsoku/>
        <w:wordWrap/>
        <w:overflowPunct/>
        <w:topLinePunct w:val="0"/>
        <w:autoSpaceDE/>
        <w:autoSpaceDN/>
        <w:bidi w:val="0"/>
        <w:adjustRightInd/>
        <w:snapToGrid/>
        <w:spacing w:line="550" w:lineRule="exact"/>
        <w:ind w:firstLine="643"/>
        <w:jc w:val="both"/>
        <w:textAlignment w:val="auto"/>
        <w:rPr>
          <w:rFonts w:hint="default" w:ascii="Times New Roman" w:hAnsi="Times New Roman" w:eastAsia="楷体_GB2312" w:cs="Times New Roman"/>
          <w:b/>
          <w:bCs/>
          <w:sz w:val="32"/>
          <w:szCs w:val="32"/>
        </w:rPr>
      </w:pPr>
    </w:p>
    <w:p>
      <w:pPr>
        <w:spacing w:afterLines="5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表1-1  金湖县城区各用途级别基准地价表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223"/>
        <w:gridCol w:w="2411"/>
        <w:gridCol w:w="1412"/>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52" w:type="pct"/>
            <w:vAlign w:val="center"/>
          </w:tcPr>
          <w:p>
            <w:pPr>
              <w:pStyle w:val="3"/>
              <w:spacing w:line="240" w:lineRule="auto"/>
              <w:ind w:firstLine="0" w:firstLineChars="0"/>
              <w:jc w:val="center"/>
              <w:rPr>
                <w:rFonts w:hint="default" w:ascii="Times New Roman" w:hAnsi="Times New Roman" w:eastAsia="黑体" w:cs="Times New Roman"/>
                <w:b w:val="0"/>
                <w:bCs/>
                <w:color w:val="000000"/>
                <w:sz w:val="20"/>
              </w:rPr>
            </w:pPr>
            <w:r>
              <w:rPr>
                <w:rFonts w:hint="default" w:ascii="Times New Roman" w:hAnsi="Times New Roman" w:eastAsia="黑体" w:cs="Times New Roman"/>
                <w:b w:val="0"/>
                <w:bCs/>
                <w:color w:val="000000"/>
                <w:sz w:val="20"/>
              </w:rPr>
              <w:t>用途</w:t>
            </w:r>
          </w:p>
        </w:tc>
        <w:tc>
          <w:tcPr>
            <w:tcW w:w="683" w:type="pct"/>
            <w:vAlign w:val="center"/>
          </w:tcPr>
          <w:p>
            <w:pPr>
              <w:pStyle w:val="3"/>
              <w:spacing w:line="240" w:lineRule="auto"/>
              <w:ind w:firstLine="0" w:firstLineChars="0"/>
              <w:jc w:val="center"/>
              <w:rPr>
                <w:rFonts w:hint="default" w:ascii="Times New Roman" w:hAnsi="Times New Roman" w:eastAsia="黑体" w:cs="Times New Roman"/>
                <w:b w:val="0"/>
                <w:bCs/>
                <w:color w:val="000000"/>
                <w:sz w:val="20"/>
              </w:rPr>
            </w:pPr>
            <w:r>
              <w:rPr>
                <w:rFonts w:hint="default" w:ascii="Times New Roman" w:hAnsi="Times New Roman" w:eastAsia="黑体" w:cs="Times New Roman"/>
                <w:b w:val="0"/>
                <w:bCs/>
                <w:color w:val="000000"/>
                <w:sz w:val="20"/>
              </w:rPr>
              <w:t>级别</w:t>
            </w:r>
          </w:p>
        </w:tc>
        <w:tc>
          <w:tcPr>
            <w:tcW w:w="1347" w:type="pct"/>
            <w:vAlign w:val="center"/>
          </w:tcPr>
          <w:p>
            <w:pPr>
              <w:pStyle w:val="3"/>
              <w:spacing w:line="240" w:lineRule="auto"/>
              <w:ind w:firstLine="0" w:firstLineChars="0"/>
              <w:jc w:val="center"/>
              <w:rPr>
                <w:rFonts w:hint="default" w:ascii="Times New Roman" w:hAnsi="Times New Roman" w:eastAsia="黑体" w:cs="Times New Roman"/>
                <w:b w:val="0"/>
                <w:bCs/>
                <w:color w:val="000000"/>
                <w:sz w:val="20"/>
              </w:rPr>
            </w:pPr>
            <w:r>
              <w:rPr>
                <w:rFonts w:hint="default" w:ascii="Times New Roman" w:hAnsi="Times New Roman" w:eastAsia="黑体" w:cs="Times New Roman"/>
                <w:b w:val="0"/>
                <w:bCs/>
                <w:color w:val="000000"/>
                <w:sz w:val="20"/>
              </w:rPr>
              <w:t>基准地价（元/平方米）</w:t>
            </w:r>
          </w:p>
        </w:tc>
        <w:tc>
          <w:tcPr>
            <w:tcW w:w="789" w:type="pct"/>
            <w:vAlign w:val="center"/>
          </w:tcPr>
          <w:p>
            <w:pPr>
              <w:pStyle w:val="3"/>
              <w:spacing w:line="240" w:lineRule="auto"/>
              <w:ind w:firstLine="0" w:firstLineChars="0"/>
              <w:jc w:val="center"/>
              <w:rPr>
                <w:rFonts w:hint="default" w:ascii="Times New Roman" w:hAnsi="Times New Roman" w:eastAsia="黑体" w:cs="Times New Roman"/>
                <w:b w:val="0"/>
                <w:bCs/>
                <w:color w:val="000000"/>
                <w:sz w:val="20"/>
              </w:rPr>
            </w:pPr>
            <w:r>
              <w:rPr>
                <w:rFonts w:hint="default" w:ascii="Times New Roman" w:hAnsi="Times New Roman" w:eastAsia="黑体" w:cs="Times New Roman"/>
                <w:b w:val="0"/>
                <w:bCs/>
                <w:color w:val="000000"/>
                <w:sz w:val="20"/>
              </w:rPr>
              <w:t>设定容积率</w:t>
            </w:r>
          </w:p>
        </w:tc>
        <w:tc>
          <w:tcPr>
            <w:tcW w:w="1327" w:type="pct"/>
            <w:vAlign w:val="center"/>
          </w:tcPr>
          <w:p>
            <w:pPr>
              <w:pStyle w:val="3"/>
              <w:spacing w:line="240" w:lineRule="auto"/>
              <w:ind w:firstLine="0" w:firstLineChars="0"/>
              <w:jc w:val="center"/>
              <w:rPr>
                <w:rFonts w:hint="default" w:ascii="Times New Roman" w:hAnsi="Times New Roman" w:eastAsia="黑体" w:cs="Times New Roman"/>
                <w:b w:val="0"/>
                <w:bCs/>
                <w:color w:val="000000"/>
                <w:sz w:val="20"/>
              </w:rPr>
            </w:pPr>
            <w:r>
              <w:rPr>
                <w:rFonts w:hint="default" w:ascii="Times New Roman" w:hAnsi="Times New Roman" w:eastAsia="黑体" w:cs="Times New Roman"/>
                <w:b w:val="0"/>
                <w:bCs/>
                <w:color w:val="000000"/>
                <w:sz w:val="20"/>
              </w:rPr>
              <w:t>基准地价（万元/亩）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商服用地</w:t>
            </w: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3110</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1.8</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207.33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2140</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1.7</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142.67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三</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1310</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1.6</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87.33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四</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950</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1.5</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63.33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住宅用地</w:t>
            </w: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2430</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1.8</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162.00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1680</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1.6</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三</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1170</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1.5</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78.00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四</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650</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1.3</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43.33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工业用地</w:t>
            </w: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225</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185</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三</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155</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sz w:val="20"/>
              </w:rPr>
              <w:t>新闻出版、科研、医疗卫生及教育用地</w:t>
            </w: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380</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1.4</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25.33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300</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1.3</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三</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260</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1.2</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17.33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sz w:val="20"/>
              </w:rPr>
              <w:t>机关团体、社会福利、文化设施及体育用地</w:t>
            </w: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285</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1.2</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240</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1.1</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三</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200</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13.33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sz w:val="20"/>
              </w:rPr>
              <w:t>公用设施用地、公园与绿地</w:t>
            </w: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225</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185</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683"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三</w:t>
            </w:r>
          </w:p>
        </w:tc>
        <w:tc>
          <w:tcPr>
            <w:tcW w:w="134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155</w:t>
            </w:r>
          </w:p>
        </w:tc>
        <w:tc>
          <w:tcPr>
            <w:tcW w:w="78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32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10.33 </w:t>
            </w: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sz w:val="32"/>
          <w:szCs w:val="32"/>
        </w:rPr>
      </w:pPr>
    </w:p>
    <w:p>
      <w:pPr>
        <w:spacing w:afterLines="5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表1-2  金湖县建制镇（片区）各用途级别基准地价表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713"/>
        <w:gridCol w:w="996"/>
        <w:gridCol w:w="997"/>
        <w:gridCol w:w="2346"/>
        <w:gridCol w:w="835"/>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14" w:type="pct"/>
            <w:vAlign w:val="center"/>
          </w:tcPr>
          <w:p>
            <w:pPr>
              <w:widowControl/>
              <w:spacing w:line="240" w:lineRule="auto"/>
              <w:ind w:firstLine="0" w:firstLineChars="0"/>
              <w:jc w:val="center"/>
              <w:rPr>
                <w:rFonts w:hint="default" w:ascii="Times New Roman" w:hAnsi="Times New Roman" w:eastAsia="仿宋_GB2312" w:cs="Times New Roman"/>
                <w:b/>
                <w:bCs/>
                <w:color w:val="000000"/>
                <w:kern w:val="0"/>
                <w:sz w:val="20"/>
                <w:szCs w:val="21"/>
              </w:rPr>
            </w:pPr>
            <w:r>
              <w:rPr>
                <w:rFonts w:hint="default" w:ascii="Times New Roman" w:hAnsi="Times New Roman" w:eastAsia="仿宋_GB2312" w:cs="Times New Roman"/>
                <w:b/>
                <w:bCs/>
                <w:color w:val="000000"/>
                <w:kern w:val="0"/>
                <w:sz w:val="20"/>
                <w:szCs w:val="21"/>
              </w:rPr>
              <w:t>区域</w:t>
            </w:r>
          </w:p>
        </w:tc>
        <w:tc>
          <w:tcPr>
            <w:tcW w:w="398" w:type="pct"/>
            <w:vAlign w:val="center"/>
          </w:tcPr>
          <w:p>
            <w:pPr>
              <w:widowControl/>
              <w:spacing w:line="240" w:lineRule="auto"/>
              <w:ind w:firstLine="0" w:firstLineChars="0"/>
              <w:jc w:val="center"/>
              <w:rPr>
                <w:rFonts w:hint="default" w:ascii="Times New Roman" w:hAnsi="Times New Roman" w:eastAsia="仿宋_GB2312" w:cs="Times New Roman"/>
                <w:b/>
                <w:bCs/>
                <w:color w:val="000000"/>
                <w:kern w:val="0"/>
                <w:sz w:val="20"/>
                <w:szCs w:val="21"/>
              </w:rPr>
            </w:pPr>
            <w:r>
              <w:rPr>
                <w:rFonts w:hint="default" w:ascii="Times New Roman" w:hAnsi="Times New Roman" w:eastAsia="仿宋_GB2312" w:cs="Times New Roman"/>
                <w:b/>
                <w:bCs/>
                <w:color w:val="000000"/>
                <w:kern w:val="0"/>
                <w:sz w:val="20"/>
                <w:szCs w:val="21"/>
              </w:rPr>
              <w:t>用途</w:t>
            </w: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b/>
                <w:bCs/>
                <w:color w:val="000000"/>
                <w:kern w:val="0"/>
                <w:sz w:val="20"/>
                <w:szCs w:val="21"/>
              </w:rPr>
            </w:pPr>
            <w:r>
              <w:rPr>
                <w:rFonts w:hint="default" w:ascii="Times New Roman" w:hAnsi="Times New Roman" w:eastAsia="仿宋_GB2312" w:cs="Times New Roman"/>
                <w:b/>
                <w:bCs/>
                <w:color w:val="000000"/>
                <w:kern w:val="0"/>
                <w:sz w:val="20"/>
                <w:szCs w:val="21"/>
              </w:rPr>
              <w:t>范围/级别</w:t>
            </w:r>
          </w:p>
        </w:tc>
        <w:tc>
          <w:tcPr>
            <w:tcW w:w="1310" w:type="pct"/>
            <w:noWrap/>
            <w:vAlign w:val="center"/>
          </w:tcPr>
          <w:p>
            <w:pPr>
              <w:widowControl/>
              <w:spacing w:line="240" w:lineRule="auto"/>
              <w:ind w:firstLine="0" w:firstLineChars="0"/>
              <w:jc w:val="center"/>
              <w:rPr>
                <w:rFonts w:hint="default" w:ascii="Times New Roman" w:hAnsi="Times New Roman" w:eastAsia="仿宋_GB2312" w:cs="Times New Roman"/>
                <w:b/>
                <w:bCs/>
                <w:color w:val="000000"/>
                <w:kern w:val="0"/>
                <w:sz w:val="20"/>
                <w:szCs w:val="21"/>
              </w:rPr>
            </w:pPr>
            <w:r>
              <w:rPr>
                <w:rFonts w:hint="default" w:ascii="Times New Roman" w:hAnsi="Times New Roman" w:eastAsia="仿宋_GB2312" w:cs="Times New Roman"/>
                <w:b/>
                <w:bCs/>
                <w:color w:val="000000"/>
                <w:kern w:val="0"/>
                <w:sz w:val="20"/>
                <w:szCs w:val="21"/>
              </w:rPr>
              <w:t>基准地价（元/平方米）</w:t>
            </w:r>
          </w:p>
        </w:tc>
        <w:tc>
          <w:tcPr>
            <w:tcW w:w="466" w:type="pct"/>
            <w:noWrap/>
            <w:vAlign w:val="center"/>
          </w:tcPr>
          <w:p>
            <w:pPr>
              <w:widowControl/>
              <w:spacing w:line="240" w:lineRule="auto"/>
              <w:ind w:firstLine="0" w:firstLineChars="0"/>
              <w:jc w:val="center"/>
              <w:rPr>
                <w:rFonts w:hint="default" w:ascii="Times New Roman" w:hAnsi="Times New Roman" w:eastAsia="仿宋_GB2312" w:cs="Times New Roman"/>
                <w:b/>
                <w:bCs/>
                <w:color w:val="000000"/>
                <w:kern w:val="0"/>
                <w:sz w:val="20"/>
                <w:szCs w:val="21"/>
              </w:rPr>
            </w:pPr>
            <w:r>
              <w:rPr>
                <w:rFonts w:hint="default" w:ascii="Times New Roman" w:hAnsi="Times New Roman" w:eastAsia="仿宋_GB2312" w:cs="Times New Roman"/>
                <w:b/>
                <w:bCs/>
                <w:color w:val="000000"/>
                <w:kern w:val="0"/>
                <w:sz w:val="20"/>
                <w:szCs w:val="21"/>
              </w:rPr>
              <w:t>容积率</w:t>
            </w:r>
          </w:p>
        </w:tc>
        <w:tc>
          <w:tcPr>
            <w:tcW w:w="1195" w:type="pct"/>
            <w:noWrap/>
            <w:vAlign w:val="center"/>
          </w:tcPr>
          <w:p>
            <w:pPr>
              <w:widowControl/>
              <w:spacing w:line="240" w:lineRule="auto"/>
              <w:ind w:firstLine="0" w:firstLineChars="0"/>
              <w:jc w:val="center"/>
              <w:rPr>
                <w:rFonts w:hint="default" w:ascii="Times New Roman" w:hAnsi="Times New Roman" w:eastAsia="仿宋_GB2312" w:cs="Times New Roman"/>
                <w:b/>
                <w:bCs/>
                <w:color w:val="000000"/>
                <w:kern w:val="0"/>
                <w:sz w:val="20"/>
                <w:szCs w:val="21"/>
              </w:rPr>
            </w:pPr>
            <w:r>
              <w:rPr>
                <w:rFonts w:hint="default" w:ascii="Times New Roman" w:hAnsi="Times New Roman" w:eastAsia="仿宋_GB2312" w:cs="Times New Roman"/>
                <w:b/>
                <w:bCs/>
                <w:color w:val="000000"/>
                <w:kern w:val="0"/>
                <w:sz w:val="20"/>
                <w:szCs w:val="21"/>
              </w:rPr>
              <w:t>基准地价（万元/亩）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514"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戴楼街道</w:t>
            </w: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商服</w:t>
            </w: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一级（戴楼）</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605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40.33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二级（官塘）</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345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住宅</w:t>
            </w: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一级（戴楼）</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460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二级（官塘）</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270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工业</w:t>
            </w: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一级（戴楼）</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155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二级（官塘）</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145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金南镇</w:t>
            </w: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商服</w:t>
            </w:r>
          </w:p>
        </w:tc>
        <w:tc>
          <w:tcPr>
            <w:tcW w:w="556"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金南</w:t>
            </w: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455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1.2</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295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二级（金沟片区）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290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二级（卞塘片区）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290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住宅</w:t>
            </w:r>
          </w:p>
        </w:tc>
        <w:tc>
          <w:tcPr>
            <w:tcW w:w="556"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金南</w:t>
            </w: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340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290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二级（金沟片区）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255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二级（卞塘片区）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255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工业</w:t>
            </w: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一级（金南）</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155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二级（金沟片区）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140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二级（卞塘片区）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140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金北</w:t>
            </w:r>
          </w:p>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街道</w:t>
            </w: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商服</w:t>
            </w: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一级（陈桥）</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395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二级（金北）</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365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住宅</w:t>
            </w: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一级（陈桥）</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340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二级（金北）</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315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工业</w:t>
            </w: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一级（陈桥）</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155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二级（金北）</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155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吕良镇</w:t>
            </w: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商服</w:t>
            </w:r>
          </w:p>
        </w:tc>
        <w:tc>
          <w:tcPr>
            <w:tcW w:w="556"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吕良</w:t>
            </w: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445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1.2</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290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二级（孙集片区）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290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二级（新农片区）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320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住宅</w:t>
            </w:r>
          </w:p>
        </w:tc>
        <w:tc>
          <w:tcPr>
            <w:tcW w:w="556"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吕良</w:t>
            </w: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335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250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二级（孙集片区）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240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二级（新农片区）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260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工业</w:t>
            </w: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一级（吕良）</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155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二级（孙集片区）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135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二级（新农片区）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140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前锋镇</w:t>
            </w: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商服</w:t>
            </w: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一级（白马湖片区）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355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一级（前锋）</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335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二级（淮胜片区）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300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住宅</w:t>
            </w: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一级（白马湖片区）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295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一级（前锋）</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270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二级（淮胜片区）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255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工业</w:t>
            </w: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一级（白马湖片区）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145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一级（前锋）</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145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二级（淮胜片区）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140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银涂镇</w:t>
            </w: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商服</w:t>
            </w:r>
          </w:p>
        </w:tc>
        <w:tc>
          <w:tcPr>
            <w:tcW w:w="556"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银集</w:t>
            </w: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485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1.2</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315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涂沟</w:t>
            </w: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470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1.2</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300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三级（淮建片区）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300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二级（唐港片区）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335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住宅</w:t>
            </w:r>
          </w:p>
        </w:tc>
        <w:tc>
          <w:tcPr>
            <w:tcW w:w="556"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银集</w:t>
            </w: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380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315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涂沟</w:t>
            </w: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370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295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三级（淮建片区）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235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二级（唐港片区）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295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工业</w:t>
            </w: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一级（银集）</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155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一级（涂沟）</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150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二级（淮建片区）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140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二级（唐港片区）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140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塔集镇</w:t>
            </w: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商服</w:t>
            </w:r>
          </w:p>
        </w:tc>
        <w:tc>
          <w:tcPr>
            <w:tcW w:w="556"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闵桥</w:t>
            </w: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475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1.2</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330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restart"/>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塔集</w:t>
            </w: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470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1.2</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300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二级（夹沟片区）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315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二级（横桥片区）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310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住宅</w:t>
            </w:r>
          </w:p>
        </w:tc>
        <w:tc>
          <w:tcPr>
            <w:tcW w:w="556" w:type="pct"/>
            <w:vMerge w:val="restar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闵桥</w:t>
            </w: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355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290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restart"/>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塔集</w:t>
            </w: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350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55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270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二级（夹沟片区）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265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二级（横桥片区）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245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restart"/>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工业</w:t>
            </w: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一级（闵桥）</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155</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一级（塔集）</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150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二级（夹沟片区）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140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14"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398" w:type="pct"/>
            <w:vMerge w:val="continue"/>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1113" w:type="pct"/>
            <w:gridSpan w:val="2"/>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二级（横桥片区）</w:t>
            </w:r>
          </w:p>
        </w:tc>
        <w:tc>
          <w:tcPr>
            <w:tcW w:w="131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140</w:t>
            </w:r>
          </w:p>
        </w:tc>
        <w:tc>
          <w:tcPr>
            <w:tcW w:w="46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w:t>
            </w:r>
          </w:p>
        </w:tc>
        <w:tc>
          <w:tcPr>
            <w:tcW w:w="1195"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9.33</w:t>
            </w:r>
          </w:p>
        </w:tc>
      </w:tr>
    </w:tbl>
    <w:p>
      <w:pPr>
        <w:spacing w:line="300" w:lineRule="exact"/>
        <w:ind w:firstLine="482"/>
        <w:jc w:val="center"/>
        <w:rPr>
          <w:rFonts w:hint="default" w:ascii="Times New Roman" w:hAnsi="Times New Roman" w:cs="Times New Roman"/>
          <w:b/>
          <w:color w:val="000000"/>
          <w:sz w:val="24"/>
        </w:rPr>
      </w:pPr>
    </w:p>
    <w:p>
      <w:pPr>
        <w:pStyle w:val="8"/>
        <w:snapToGrid/>
        <w:spacing w:line="560" w:lineRule="exact"/>
        <w:rPr>
          <w:rFonts w:hint="default" w:ascii="Times New Roman" w:hAnsi="Times New Roman" w:eastAsia="黑体" w:cs="Times New Roman"/>
          <w:b w:val="0"/>
        </w:rPr>
      </w:pPr>
      <w:r>
        <w:rPr>
          <w:rFonts w:hint="default" w:ascii="Times New Roman" w:hAnsi="Times New Roman" w:eastAsia="黑体" w:cs="Times New Roman"/>
          <w:b w:val="0"/>
        </w:rPr>
        <w:t>二、2020年度集体建设用地基准地价</w:t>
      </w:r>
    </w:p>
    <w:p>
      <w:pPr>
        <w:ind w:firstLine="643"/>
        <w:jc w:val="left"/>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（一）基准地价内涵</w:t>
      </w:r>
    </w:p>
    <w:p>
      <w:pPr>
        <w:jc w:val="left"/>
        <w:rPr>
          <w:rFonts w:hint="default" w:ascii="Times New Roman" w:hAnsi="Times New Roman" w:cs="Times New Roman"/>
          <w:sz w:val="32"/>
          <w:szCs w:val="32"/>
        </w:rPr>
      </w:pPr>
      <w:r>
        <w:rPr>
          <w:rFonts w:hint="default" w:ascii="Times New Roman" w:hAnsi="Times New Roman" w:cs="Times New Roman"/>
          <w:sz w:val="32"/>
          <w:szCs w:val="32"/>
        </w:rPr>
        <w:t>考虑到集体建设用地与城镇国有建设用地在内在属性、权利实现等方面的差异，参考《城镇土地估价规程》《农村集体土地价格评估技术指引》，明确集体建设用地基准地价内涵为：估价基准日各均质区域在设定土地开发程度和容积率下，同一用途建设用地使用权的平均价格。基准地价的表现形式为级别基准地价。</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1.</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估价基准日：</w:t>
      </w:r>
      <w:r>
        <w:rPr>
          <w:rFonts w:hint="default" w:ascii="Times New Roman" w:hAnsi="Times New Roman" w:cs="Times New Roman"/>
          <w:sz w:val="32"/>
          <w:szCs w:val="32"/>
        </w:rPr>
        <w:t>2021年1月1日。</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2.</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土地用途：</w:t>
      </w:r>
      <w:r>
        <w:rPr>
          <w:rFonts w:hint="default" w:ascii="Times New Roman" w:hAnsi="Times New Roman" w:cs="Times New Roman"/>
          <w:sz w:val="32"/>
          <w:szCs w:val="32"/>
        </w:rPr>
        <w:t>商服用地、宅基地、工矿仓储用地。</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3.</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开发水平：</w:t>
      </w:r>
      <w:r>
        <w:rPr>
          <w:rFonts w:hint="default" w:ascii="Times New Roman" w:hAnsi="Times New Roman" w:cs="Times New Roman"/>
          <w:sz w:val="32"/>
          <w:szCs w:val="32"/>
        </w:rPr>
        <w:t>根据各均质区域内同一用途现状平均土地开发程度或2/3以上面积已经达到的宗地红线外基础设施平均水平、宗地红线内“场地平整”设定土地开发水平。</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4.</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容积率：</w:t>
      </w:r>
      <w:r>
        <w:rPr>
          <w:rFonts w:hint="default" w:ascii="Times New Roman" w:hAnsi="Times New Roman" w:cs="Times New Roman"/>
          <w:sz w:val="32"/>
          <w:szCs w:val="32"/>
        </w:rPr>
        <w:t>依据各用地类型样点的容积率平均数确定均质区域设定容积率。</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5.</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土地使用年期：</w:t>
      </w:r>
      <w:r>
        <w:rPr>
          <w:rFonts w:hint="default" w:ascii="Times New Roman" w:hAnsi="Times New Roman" w:cs="Times New Roman"/>
          <w:sz w:val="32"/>
          <w:szCs w:val="32"/>
        </w:rPr>
        <w:t>商服用地40年，宅基地无限年期，工矿仓储用地50年。</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6.</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土地权利状况：</w:t>
      </w:r>
      <w:r>
        <w:rPr>
          <w:rFonts w:hint="default" w:ascii="Times New Roman" w:hAnsi="Times New Roman" w:cs="Times New Roman"/>
          <w:sz w:val="32"/>
          <w:szCs w:val="32"/>
        </w:rPr>
        <w:t>商服用地和工矿仓储用地地价界定为出让土地使用权价格。</w:t>
      </w:r>
    </w:p>
    <w:p>
      <w:pPr>
        <w:ind w:firstLine="643"/>
        <w:jc w:val="left"/>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（二）级别基准地价</w:t>
      </w:r>
    </w:p>
    <w:p>
      <w:pPr>
        <w:jc w:val="left"/>
        <w:rPr>
          <w:rFonts w:hint="default" w:ascii="Times New Roman" w:hAnsi="Times New Roman" w:cs="Times New Roman"/>
          <w:sz w:val="32"/>
          <w:szCs w:val="32"/>
        </w:rPr>
      </w:pPr>
      <w:r>
        <w:rPr>
          <w:rFonts w:hint="default" w:ascii="Times New Roman" w:hAnsi="Times New Roman" w:cs="Times New Roman"/>
          <w:sz w:val="32"/>
          <w:szCs w:val="32"/>
        </w:rPr>
        <w:t>集体建设用地：商服用地共划分4个级别，地价水平区间320~880元/m</w:t>
      </w:r>
      <w:r>
        <w:rPr>
          <w:rFonts w:hint="default" w:ascii="Times New Roman" w:hAnsi="Times New Roman" w:cs="Times New Roman"/>
          <w:sz w:val="32"/>
          <w:szCs w:val="32"/>
          <w:vertAlign w:val="superscript"/>
        </w:rPr>
        <w:t>2</w:t>
      </w:r>
      <w:r>
        <w:rPr>
          <w:rFonts w:hint="default" w:ascii="Times New Roman" w:hAnsi="Times New Roman" w:cs="Times New Roman"/>
          <w:sz w:val="32"/>
          <w:szCs w:val="32"/>
        </w:rPr>
        <w:t>；宅基地共划分4个级别，地价水平区间220~665元/m</w:t>
      </w:r>
      <w:r>
        <w:rPr>
          <w:rFonts w:hint="default" w:ascii="Times New Roman" w:hAnsi="Times New Roman" w:cs="Times New Roman"/>
          <w:sz w:val="32"/>
          <w:szCs w:val="32"/>
          <w:vertAlign w:val="superscript"/>
        </w:rPr>
        <w:t>2</w:t>
      </w:r>
      <w:r>
        <w:rPr>
          <w:rFonts w:hint="default" w:ascii="Times New Roman" w:hAnsi="Times New Roman" w:cs="Times New Roman"/>
          <w:sz w:val="32"/>
          <w:szCs w:val="32"/>
        </w:rPr>
        <w:t>；工矿仓储用地共划分3个级别，地价水平区间120~155元/m</w:t>
      </w:r>
      <w:r>
        <w:rPr>
          <w:rFonts w:hint="default" w:ascii="Times New Roman" w:hAnsi="Times New Roman" w:cs="Times New Roman"/>
          <w:sz w:val="32"/>
          <w:szCs w:val="32"/>
          <w:vertAlign w:val="superscript"/>
        </w:rPr>
        <w:t>2</w:t>
      </w:r>
      <w:r>
        <w:rPr>
          <w:rFonts w:hint="default" w:ascii="Times New Roman" w:hAnsi="Times New Roman" w:cs="Times New Roman"/>
          <w:sz w:val="32"/>
          <w:szCs w:val="32"/>
        </w:rPr>
        <w:t>。</w:t>
      </w:r>
    </w:p>
    <w:p>
      <w:pPr>
        <w:jc w:val="left"/>
        <w:rPr>
          <w:rFonts w:hint="default" w:ascii="Times New Roman" w:hAnsi="Times New Roman" w:cs="Times New Roman"/>
          <w:sz w:val="32"/>
          <w:szCs w:val="32"/>
        </w:rPr>
      </w:pPr>
    </w:p>
    <w:p>
      <w:pPr>
        <w:spacing w:afterLines="5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表2-1 金湖县集体建设用地级别基准地价表（商服用地）</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1"/>
        <w:gridCol w:w="1607"/>
        <w:gridCol w:w="1607"/>
        <w:gridCol w:w="1607"/>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40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土地级别</w:t>
            </w:r>
          </w:p>
        </w:tc>
        <w:tc>
          <w:tcPr>
            <w:tcW w:w="898"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w:t>
            </w:r>
          </w:p>
        </w:tc>
        <w:tc>
          <w:tcPr>
            <w:tcW w:w="898"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w:t>
            </w:r>
          </w:p>
        </w:tc>
        <w:tc>
          <w:tcPr>
            <w:tcW w:w="898"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三</w:t>
            </w:r>
          </w:p>
        </w:tc>
        <w:tc>
          <w:tcPr>
            <w:tcW w:w="898"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0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设定容积率</w:t>
            </w:r>
          </w:p>
        </w:tc>
        <w:tc>
          <w:tcPr>
            <w:tcW w:w="1627"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1.2</w:t>
            </w:r>
          </w:p>
        </w:tc>
        <w:tc>
          <w:tcPr>
            <w:tcW w:w="1627"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1.1</w:t>
            </w:r>
          </w:p>
        </w:tc>
        <w:tc>
          <w:tcPr>
            <w:tcW w:w="1627"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1.0</w:t>
            </w:r>
          </w:p>
        </w:tc>
        <w:tc>
          <w:tcPr>
            <w:tcW w:w="1626"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0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基准地价（元/m</w:t>
            </w:r>
            <w:r>
              <w:rPr>
                <w:rFonts w:hint="default" w:ascii="Times New Roman" w:hAnsi="Times New Roman" w:eastAsia="仿宋_GB2312" w:cs="Times New Roman"/>
                <w:color w:val="000000"/>
                <w:kern w:val="0"/>
                <w:sz w:val="20"/>
                <w:szCs w:val="21"/>
                <w:vertAlign w:val="superscript"/>
              </w:rPr>
              <w:t>2</w:t>
            </w:r>
            <w:r>
              <w:rPr>
                <w:rFonts w:hint="default" w:ascii="Times New Roman" w:hAnsi="Times New Roman" w:eastAsia="仿宋_GB2312" w:cs="Times New Roman"/>
                <w:color w:val="000000"/>
                <w:kern w:val="0"/>
                <w:sz w:val="20"/>
                <w:szCs w:val="21"/>
              </w:rPr>
              <w:t>）</w:t>
            </w:r>
          </w:p>
        </w:tc>
        <w:tc>
          <w:tcPr>
            <w:tcW w:w="1627"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880</w:t>
            </w:r>
          </w:p>
        </w:tc>
        <w:tc>
          <w:tcPr>
            <w:tcW w:w="1627"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640</w:t>
            </w:r>
          </w:p>
        </w:tc>
        <w:tc>
          <w:tcPr>
            <w:tcW w:w="1627"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450</w:t>
            </w:r>
          </w:p>
        </w:tc>
        <w:tc>
          <w:tcPr>
            <w:tcW w:w="1626"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0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基准地价（万元/亩）</w:t>
            </w:r>
          </w:p>
        </w:tc>
        <w:tc>
          <w:tcPr>
            <w:tcW w:w="1627"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58.67</w:t>
            </w:r>
          </w:p>
        </w:tc>
        <w:tc>
          <w:tcPr>
            <w:tcW w:w="1627"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42.67</w:t>
            </w:r>
          </w:p>
        </w:tc>
        <w:tc>
          <w:tcPr>
            <w:tcW w:w="1627"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30.00</w:t>
            </w:r>
          </w:p>
        </w:tc>
        <w:tc>
          <w:tcPr>
            <w:tcW w:w="1626"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21.33</w:t>
            </w:r>
          </w:p>
        </w:tc>
      </w:tr>
    </w:tbl>
    <w:p>
      <w:pPr>
        <w:spacing w:afterLines="50"/>
        <w:ind w:firstLine="0" w:firstLineChars="0"/>
        <w:jc w:val="center"/>
        <w:rPr>
          <w:rFonts w:hint="default" w:ascii="Times New Roman" w:hAnsi="Times New Roman" w:cs="Times New Roman"/>
          <w:b/>
          <w:sz w:val="32"/>
          <w:szCs w:val="32"/>
        </w:rPr>
      </w:pPr>
    </w:p>
    <w:p>
      <w:pPr>
        <w:spacing w:afterLines="5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表2-2  金湖县集体建设用地级别基准地价表（宅基地）</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1607"/>
        <w:gridCol w:w="1607"/>
        <w:gridCol w:w="1607"/>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trPr>
        <w:tc>
          <w:tcPr>
            <w:tcW w:w="1408"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土地级别</w:t>
            </w:r>
          </w:p>
        </w:tc>
        <w:tc>
          <w:tcPr>
            <w:tcW w:w="898"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w:t>
            </w:r>
          </w:p>
        </w:tc>
        <w:tc>
          <w:tcPr>
            <w:tcW w:w="898"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w:t>
            </w:r>
          </w:p>
        </w:tc>
        <w:tc>
          <w:tcPr>
            <w:tcW w:w="898"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三</w:t>
            </w:r>
          </w:p>
        </w:tc>
        <w:tc>
          <w:tcPr>
            <w:tcW w:w="897"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08"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设定容积率</w:t>
            </w:r>
          </w:p>
        </w:tc>
        <w:tc>
          <w:tcPr>
            <w:tcW w:w="1627"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1.3</w:t>
            </w:r>
          </w:p>
        </w:tc>
        <w:tc>
          <w:tcPr>
            <w:tcW w:w="1628"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1.2</w:t>
            </w:r>
          </w:p>
        </w:tc>
        <w:tc>
          <w:tcPr>
            <w:tcW w:w="1628"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1.1</w:t>
            </w:r>
          </w:p>
        </w:tc>
        <w:tc>
          <w:tcPr>
            <w:tcW w:w="1626"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08"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基准地价（元/m</w:t>
            </w:r>
            <w:r>
              <w:rPr>
                <w:rFonts w:hint="default" w:ascii="Times New Roman" w:hAnsi="Times New Roman" w:eastAsia="仿宋_GB2312" w:cs="Times New Roman"/>
                <w:color w:val="000000"/>
                <w:kern w:val="0"/>
                <w:sz w:val="20"/>
                <w:szCs w:val="21"/>
                <w:vertAlign w:val="superscript"/>
              </w:rPr>
              <w:t>2</w:t>
            </w:r>
            <w:r>
              <w:rPr>
                <w:rFonts w:hint="default" w:ascii="Times New Roman" w:hAnsi="Times New Roman" w:eastAsia="仿宋_GB2312" w:cs="Times New Roman"/>
                <w:color w:val="000000"/>
                <w:kern w:val="0"/>
                <w:sz w:val="20"/>
                <w:szCs w:val="21"/>
              </w:rPr>
              <w:t>）</w:t>
            </w:r>
          </w:p>
        </w:tc>
        <w:tc>
          <w:tcPr>
            <w:tcW w:w="1627"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665</w:t>
            </w:r>
          </w:p>
        </w:tc>
        <w:tc>
          <w:tcPr>
            <w:tcW w:w="1628"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485</w:t>
            </w:r>
          </w:p>
        </w:tc>
        <w:tc>
          <w:tcPr>
            <w:tcW w:w="1628"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330</w:t>
            </w:r>
          </w:p>
        </w:tc>
        <w:tc>
          <w:tcPr>
            <w:tcW w:w="1626"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08"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基准地价（万元/亩）</w:t>
            </w:r>
          </w:p>
        </w:tc>
        <w:tc>
          <w:tcPr>
            <w:tcW w:w="1627"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44.33</w:t>
            </w:r>
          </w:p>
        </w:tc>
        <w:tc>
          <w:tcPr>
            <w:tcW w:w="1628"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32.33</w:t>
            </w:r>
          </w:p>
        </w:tc>
        <w:tc>
          <w:tcPr>
            <w:tcW w:w="1628"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22.00</w:t>
            </w:r>
          </w:p>
        </w:tc>
        <w:tc>
          <w:tcPr>
            <w:tcW w:w="1626"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14.67</w:t>
            </w:r>
          </w:p>
        </w:tc>
      </w:tr>
    </w:tbl>
    <w:p>
      <w:pPr>
        <w:spacing w:afterLines="50"/>
        <w:ind w:firstLine="0" w:firstLineChars="0"/>
        <w:jc w:val="center"/>
        <w:rPr>
          <w:rFonts w:hint="default" w:ascii="Times New Roman" w:hAnsi="Times New Roman" w:cs="Times New Roman"/>
          <w:b/>
          <w:sz w:val="32"/>
          <w:szCs w:val="32"/>
        </w:rPr>
      </w:pPr>
    </w:p>
    <w:p>
      <w:pPr>
        <w:spacing w:afterLines="5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表2-3  金湖县集体建设用地级别基准地价表（工矿仓储用地）</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3"/>
        <w:gridCol w:w="2148"/>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9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土地级别</w:t>
            </w:r>
          </w:p>
        </w:tc>
        <w:tc>
          <w:tcPr>
            <w:tcW w:w="120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w:t>
            </w:r>
          </w:p>
        </w:tc>
        <w:tc>
          <w:tcPr>
            <w:tcW w:w="120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w:t>
            </w:r>
          </w:p>
        </w:tc>
        <w:tc>
          <w:tcPr>
            <w:tcW w:w="120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设定容积率</w:t>
            </w:r>
          </w:p>
        </w:tc>
        <w:tc>
          <w:tcPr>
            <w:tcW w:w="120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1.0 </w:t>
            </w:r>
          </w:p>
        </w:tc>
        <w:tc>
          <w:tcPr>
            <w:tcW w:w="120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1.0 </w:t>
            </w:r>
          </w:p>
        </w:tc>
        <w:tc>
          <w:tcPr>
            <w:tcW w:w="1200"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基准地价（元/m</w:t>
            </w:r>
            <w:r>
              <w:rPr>
                <w:rFonts w:hint="default" w:ascii="Times New Roman" w:hAnsi="Times New Roman" w:eastAsia="仿宋_GB2312" w:cs="Times New Roman"/>
                <w:color w:val="000000"/>
                <w:kern w:val="0"/>
                <w:sz w:val="20"/>
                <w:szCs w:val="21"/>
                <w:vertAlign w:val="superscript"/>
              </w:rPr>
              <w:t>2</w:t>
            </w:r>
            <w:r>
              <w:rPr>
                <w:rFonts w:hint="default" w:ascii="Times New Roman" w:hAnsi="Times New Roman" w:eastAsia="仿宋_GB2312" w:cs="Times New Roman"/>
                <w:color w:val="000000"/>
                <w:kern w:val="0"/>
                <w:sz w:val="20"/>
                <w:szCs w:val="21"/>
              </w:rPr>
              <w:t>）</w:t>
            </w:r>
          </w:p>
        </w:tc>
        <w:tc>
          <w:tcPr>
            <w:tcW w:w="2175"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155</w:t>
            </w:r>
          </w:p>
        </w:tc>
        <w:tc>
          <w:tcPr>
            <w:tcW w:w="2175"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140</w:t>
            </w:r>
          </w:p>
        </w:tc>
        <w:tc>
          <w:tcPr>
            <w:tcW w:w="2175"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9"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基准地价（万元/亩）</w:t>
            </w:r>
          </w:p>
        </w:tc>
        <w:tc>
          <w:tcPr>
            <w:tcW w:w="2175"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10.33</w:t>
            </w:r>
          </w:p>
        </w:tc>
        <w:tc>
          <w:tcPr>
            <w:tcW w:w="2175"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9.33</w:t>
            </w:r>
          </w:p>
        </w:tc>
        <w:tc>
          <w:tcPr>
            <w:tcW w:w="2175" w:type="dxa"/>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8.00</w:t>
            </w:r>
          </w:p>
        </w:tc>
      </w:tr>
    </w:tbl>
    <w:p>
      <w:pPr>
        <w:pStyle w:val="8"/>
        <w:snapToGrid/>
        <w:spacing w:line="560" w:lineRule="exact"/>
        <w:rPr>
          <w:rFonts w:hint="default" w:ascii="Times New Roman" w:hAnsi="Times New Roman" w:eastAsia="黑体" w:cs="Times New Roman"/>
          <w:b w:val="0"/>
        </w:rPr>
      </w:pPr>
    </w:p>
    <w:p>
      <w:pPr>
        <w:pStyle w:val="8"/>
        <w:snapToGrid/>
        <w:spacing w:line="560" w:lineRule="exact"/>
        <w:rPr>
          <w:rFonts w:hint="default" w:ascii="Times New Roman" w:hAnsi="Times New Roman" w:eastAsia="黑体" w:cs="Times New Roman"/>
          <w:b w:val="0"/>
        </w:rPr>
      </w:pPr>
      <w:r>
        <w:rPr>
          <w:rFonts w:hint="default" w:ascii="Times New Roman" w:hAnsi="Times New Roman" w:eastAsia="黑体" w:cs="Times New Roman"/>
          <w:b w:val="0"/>
        </w:rPr>
        <w:t>三、2020年度农用地基准地价</w:t>
      </w:r>
    </w:p>
    <w:p>
      <w:pPr>
        <w:ind w:firstLine="643"/>
        <w:jc w:val="left"/>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（一）基准地价内涵</w:t>
      </w:r>
    </w:p>
    <w:p>
      <w:pPr>
        <w:jc w:val="left"/>
        <w:rPr>
          <w:rFonts w:hint="default" w:ascii="Times New Roman" w:hAnsi="Times New Roman" w:cs="Times New Roman"/>
          <w:sz w:val="32"/>
          <w:szCs w:val="32"/>
        </w:rPr>
      </w:pPr>
      <w:r>
        <w:rPr>
          <w:rFonts w:hint="default" w:ascii="Times New Roman" w:hAnsi="Times New Roman" w:cs="Times New Roman"/>
          <w:sz w:val="32"/>
          <w:szCs w:val="32"/>
        </w:rPr>
        <w:t>依据《农用地估价规程》（GB/T 28406-2012）、《农村集体土地价格评估技术指引》，农用地基准地价内涵界定包括土地权利、土地权利年期、用地类型、耕作制度、农田基本设施状况、基准日等方面，具体如下。</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1.</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估价基准日：</w:t>
      </w:r>
      <w:r>
        <w:rPr>
          <w:rFonts w:hint="default" w:ascii="Times New Roman" w:hAnsi="Times New Roman" w:cs="Times New Roman"/>
          <w:sz w:val="32"/>
          <w:szCs w:val="32"/>
        </w:rPr>
        <w:t>2021年1月1日。</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2.</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土地权利：</w:t>
      </w:r>
      <w:r>
        <w:rPr>
          <w:rFonts w:hint="default" w:ascii="Times New Roman" w:hAnsi="Times New Roman" w:cs="Times New Roman"/>
          <w:sz w:val="32"/>
          <w:szCs w:val="32"/>
        </w:rPr>
        <w:t>设定为农用地使用权、承包经营权、经营权。</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3.</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土地权利年期：</w:t>
      </w:r>
      <w:r>
        <w:rPr>
          <w:rFonts w:hint="default" w:ascii="Times New Roman" w:hAnsi="Times New Roman" w:cs="Times New Roman"/>
          <w:sz w:val="32"/>
          <w:szCs w:val="32"/>
        </w:rPr>
        <w:t>使用权为无限年期，承包经营权为30年，经营权为30年。</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4.</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用地类型：</w:t>
      </w:r>
      <w:r>
        <w:rPr>
          <w:rFonts w:hint="default" w:ascii="Times New Roman" w:hAnsi="Times New Roman" w:cs="Times New Roman"/>
          <w:sz w:val="32"/>
          <w:szCs w:val="32"/>
        </w:rPr>
        <w:t>设定为耕地。</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5.</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耕作制度：</w:t>
      </w:r>
      <w:r>
        <w:rPr>
          <w:rFonts w:hint="default" w:ascii="Times New Roman" w:hAnsi="Times New Roman" w:cs="Times New Roman"/>
          <w:sz w:val="32"/>
          <w:szCs w:val="32"/>
        </w:rPr>
        <w:t>设定为一年两熟。</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6.</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农田基本设施状况：</w:t>
      </w:r>
      <w:r>
        <w:rPr>
          <w:rFonts w:hint="default" w:ascii="Times New Roman" w:hAnsi="Times New Roman" w:cs="Times New Roman"/>
          <w:sz w:val="32"/>
          <w:szCs w:val="32"/>
        </w:rPr>
        <w:t>按照所在区域具有普遍性、适宜性的种植制度下，宗地外道路通达且有水源保障，宗地内平整、大小适中、形状规则、有基本的排水和灌溉设施且田间道路密度适中。</w:t>
      </w:r>
    </w:p>
    <w:p>
      <w:pPr>
        <w:ind w:firstLine="643"/>
        <w:jc w:val="left"/>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（二）级别基准地价</w:t>
      </w:r>
    </w:p>
    <w:p>
      <w:pPr>
        <w:jc w:val="left"/>
        <w:rPr>
          <w:rFonts w:hint="default" w:ascii="Times New Roman" w:hAnsi="Times New Roman" w:cs="Times New Roman"/>
          <w:sz w:val="32"/>
          <w:szCs w:val="32"/>
        </w:rPr>
      </w:pPr>
      <w:r>
        <w:rPr>
          <w:rFonts w:hint="default" w:ascii="Times New Roman" w:hAnsi="Times New Roman" w:cs="Times New Roman"/>
          <w:sz w:val="32"/>
          <w:szCs w:val="32"/>
        </w:rPr>
        <w:t>农用地：共划分3个级别，使用权地价水平区间38.72~51.21元/m</w:t>
      </w:r>
      <w:r>
        <w:rPr>
          <w:rFonts w:hint="default" w:ascii="Times New Roman" w:hAnsi="Times New Roman" w:cs="Times New Roman"/>
          <w:sz w:val="32"/>
          <w:szCs w:val="32"/>
          <w:vertAlign w:val="superscript"/>
        </w:rPr>
        <w:t>2</w:t>
      </w:r>
      <w:r>
        <w:rPr>
          <w:rFonts w:hint="default" w:ascii="Times New Roman" w:hAnsi="Times New Roman" w:cs="Times New Roman"/>
          <w:sz w:val="32"/>
          <w:szCs w:val="32"/>
        </w:rPr>
        <w:t>，承包经营权地价水平区间25.78~33.43元/m</w:t>
      </w:r>
      <w:r>
        <w:rPr>
          <w:rFonts w:hint="default" w:ascii="Times New Roman" w:hAnsi="Times New Roman" w:cs="Times New Roman"/>
          <w:sz w:val="32"/>
          <w:szCs w:val="32"/>
          <w:vertAlign w:val="superscript"/>
        </w:rPr>
        <w:t>2</w:t>
      </w:r>
      <w:r>
        <w:rPr>
          <w:rFonts w:hint="default" w:ascii="Times New Roman" w:hAnsi="Times New Roman" w:cs="Times New Roman"/>
          <w:sz w:val="32"/>
          <w:szCs w:val="32"/>
        </w:rPr>
        <w:t>，经营权地价水平区间4.42~6.24元/m</w:t>
      </w:r>
      <w:r>
        <w:rPr>
          <w:rFonts w:hint="default" w:ascii="Times New Roman" w:hAnsi="Times New Roman" w:cs="Times New Roman"/>
          <w:sz w:val="32"/>
          <w:szCs w:val="32"/>
          <w:vertAlign w:val="superscript"/>
        </w:rPr>
        <w:t>2</w:t>
      </w:r>
      <w:r>
        <w:rPr>
          <w:rFonts w:hint="default" w:ascii="Times New Roman" w:hAnsi="Times New Roman" w:cs="Times New Roman"/>
          <w:sz w:val="32"/>
          <w:szCs w:val="32"/>
        </w:rPr>
        <w:t>。</w:t>
      </w:r>
    </w:p>
    <w:p>
      <w:pPr>
        <w:jc w:val="left"/>
        <w:rPr>
          <w:rFonts w:hint="default" w:ascii="Times New Roman" w:hAnsi="Times New Roman" w:cs="Times New Roman"/>
          <w:sz w:val="32"/>
          <w:szCs w:val="32"/>
        </w:rPr>
      </w:pPr>
    </w:p>
    <w:p>
      <w:pPr>
        <w:spacing w:afterLines="50"/>
        <w:ind w:firstLine="0" w:firstLineChars="0"/>
        <w:jc w:val="center"/>
        <w:rPr>
          <w:rFonts w:hint="default" w:ascii="Times New Roman" w:hAnsi="Times New Roman" w:cs="Times New Roman"/>
          <w:b/>
          <w:sz w:val="32"/>
          <w:szCs w:val="32"/>
        </w:rPr>
      </w:pPr>
      <w:bookmarkStart w:id="0" w:name="_Toc54782352"/>
      <w:bookmarkStart w:id="1" w:name="_Toc54782125"/>
      <w:r>
        <w:rPr>
          <w:rFonts w:hint="default" w:ascii="Times New Roman" w:hAnsi="Times New Roman" w:cs="Times New Roman"/>
          <w:b/>
          <w:sz w:val="32"/>
          <w:szCs w:val="32"/>
        </w:rPr>
        <w:t>表3-1  农用地（耕地）级别基准地价</w:t>
      </w:r>
      <w:bookmarkEnd w:id="0"/>
      <w:bookmarkEnd w:id="1"/>
      <w:r>
        <w:rPr>
          <w:rFonts w:hint="default" w:ascii="Times New Roman" w:hAnsi="Times New Roman" w:cs="Times New Roman"/>
          <w:b/>
          <w:sz w:val="32"/>
          <w:szCs w:val="32"/>
        </w:rPr>
        <w:t>表</w:t>
      </w:r>
    </w:p>
    <w:tbl>
      <w:tblPr>
        <w:tblStyle w:val="9"/>
        <w:tblW w:w="5241" w:type="pct"/>
        <w:jc w:val="center"/>
        <w:tblLayout w:type="fixed"/>
        <w:tblCellMar>
          <w:top w:w="0" w:type="dxa"/>
          <w:left w:w="0" w:type="dxa"/>
          <w:bottom w:w="0" w:type="dxa"/>
          <w:right w:w="0" w:type="dxa"/>
        </w:tblCellMar>
      </w:tblPr>
      <w:tblGrid>
        <w:gridCol w:w="2847"/>
        <w:gridCol w:w="1201"/>
        <w:gridCol w:w="1049"/>
        <w:gridCol w:w="1102"/>
        <w:gridCol w:w="993"/>
        <w:gridCol w:w="963"/>
        <w:gridCol w:w="1006"/>
      </w:tblGrid>
      <w:tr>
        <w:tblPrEx>
          <w:tblCellMar>
            <w:top w:w="0" w:type="dxa"/>
            <w:left w:w="0" w:type="dxa"/>
            <w:bottom w:w="0" w:type="dxa"/>
            <w:right w:w="0" w:type="dxa"/>
          </w:tblCellMar>
        </w:tblPrEx>
        <w:trPr>
          <w:trHeight w:val="340" w:hRule="atLeast"/>
          <w:tblHeader/>
          <w:jc w:val="center"/>
        </w:trPr>
        <w:tc>
          <w:tcPr>
            <w:tcW w:w="1553" w:type="pct"/>
            <w:vMerge w:val="restart"/>
            <w:tcBorders>
              <w:top w:val="single" w:color="auto" w:sz="4" w:space="0"/>
              <w:left w:val="single" w:color="auto" w:sz="4" w:space="0"/>
              <w:bottom w:val="single" w:color="auto" w:sz="4" w:space="0"/>
              <w:right w:val="single" w:color="auto" w:sz="4" w:space="0"/>
              <w:tl2br w:val="single" w:color="auto" w:sz="4" w:space="0"/>
            </w:tcBorders>
            <w:noWrap/>
            <w:vAlign w:val="center"/>
          </w:tcPr>
          <w:p>
            <w:pPr>
              <w:widowControl/>
              <w:spacing w:line="240" w:lineRule="auto"/>
              <w:ind w:firstLine="0" w:firstLineChars="0"/>
              <w:jc w:val="right"/>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             土地级别</w:t>
            </w:r>
          </w:p>
          <w:p>
            <w:pPr>
              <w:widowControl/>
              <w:spacing w:line="240" w:lineRule="auto"/>
              <w:ind w:firstLine="0" w:firstLineChars="0"/>
              <w:jc w:val="left"/>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价格类型</w:t>
            </w:r>
          </w:p>
        </w:tc>
        <w:tc>
          <w:tcPr>
            <w:tcW w:w="1227" w:type="pct"/>
            <w:gridSpan w:val="2"/>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一级</w:t>
            </w:r>
          </w:p>
        </w:tc>
        <w:tc>
          <w:tcPr>
            <w:tcW w:w="1144" w:type="pct"/>
            <w:gridSpan w:val="2"/>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二级</w:t>
            </w:r>
          </w:p>
        </w:tc>
        <w:tc>
          <w:tcPr>
            <w:tcW w:w="1075" w:type="pct"/>
            <w:gridSpan w:val="2"/>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三级</w:t>
            </w:r>
          </w:p>
        </w:tc>
      </w:tr>
      <w:tr>
        <w:tblPrEx>
          <w:tblCellMar>
            <w:top w:w="0" w:type="dxa"/>
            <w:left w:w="0" w:type="dxa"/>
            <w:bottom w:w="0" w:type="dxa"/>
            <w:right w:w="0" w:type="dxa"/>
          </w:tblCellMar>
        </w:tblPrEx>
        <w:trPr>
          <w:trHeight w:val="340" w:hRule="atLeast"/>
          <w:tblHeader/>
          <w:jc w:val="center"/>
        </w:trPr>
        <w:tc>
          <w:tcPr>
            <w:tcW w:w="1553" w:type="pct"/>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p>
        </w:tc>
        <w:tc>
          <w:tcPr>
            <w:tcW w:w="655"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元/平方米</w:t>
            </w:r>
          </w:p>
        </w:tc>
        <w:tc>
          <w:tcPr>
            <w:tcW w:w="572"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元/亩</w:t>
            </w:r>
          </w:p>
        </w:tc>
        <w:tc>
          <w:tcPr>
            <w:tcW w:w="602"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元/平方米</w:t>
            </w:r>
          </w:p>
        </w:tc>
        <w:tc>
          <w:tcPr>
            <w:tcW w:w="542"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元/亩</w:t>
            </w:r>
          </w:p>
        </w:tc>
        <w:tc>
          <w:tcPr>
            <w:tcW w:w="526"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元/平方米</w:t>
            </w:r>
          </w:p>
        </w:tc>
        <w:tc>
          <w:tcPr>
            <w:tcW w:w="549"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元/亩</w:t>
            </w:r>
          </w:p>
        </w:tc>
      </w:tr>
      <w:tr>
        <w:tblPrEx>
          <w:tblCellMar>
            <w:top w:w="0" w:type="dxa"/>
            <w:left w:w="0" w:type="dxa"/>
            <w:bottom w:w="0" w:type="dxa"/>
            <w:right w:w="0" w:type="dxa"/>
          </w:tblCellMar>
        </w:tblPrEx>
        <w:trPr>
          <w:trHeight w:val="340" w:hRule="atLeast"/>
          <w:jc w:val="center"/>
        </w:trPr>
        <w:tc>
          <w:tcPr>
            <w:tcW w:w="15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无限年期使用权</w:t>
            </w:r>
          </w:p>
        </w:tc>
        <w:tc>
          <w:tcPr>
            <w:tcW w:w="121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51.21 </w:t>
            </w:r>
          </w:p>
        </w:tc>
        <w:tc>
          <w:tcPr>
            <w:tcW w:w="106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34140.17</w:t>
            </w:r>
          </w:p>
        </w:tc>
        <w:tc>
          <w:tcPr>
            <w:tcW w:w="111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44.85 </w:t>
            </w:r>
          </w:p>
        </w:tc>
        <w:tc>
          <w:tcPr>
            <w:tcW w:w="100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29900.15</w:t>
            </w:r>
          </w:p>
        </w:tc>
        <w:tc>
          <w:tcPr>
            <w:tcW w:w="97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38.72 </w:t>
            </w:r>
          </w:p>
        </w:tc>
        <w:tc>
          <w:tcPr>
            <w:tcW w:w="1019"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25813.46</w:t>
            </w:r>
          </w:p>
        </w:tc>
      </w:tr>
      <w:tr>
        <w:tblPrEx>
          <w:tblCellMar>
            <w:top w:w="0" w:type="dxa"/>
            <w:left w:w="0" w:type="dxa"/>
            <w:bottom w:w="0" w:type="dxa"/>
            <w:right w:w="0" w:type="dxa"/>
          </w:tblCellMar>
        </w:tblPrEx>
        <w:trPr>
          <w:trHeight w:val="340" w:hRule="atLeast"/>
          <w:jc w:val="center"/>
        </w:trPr>
        <w:tc>
          <w:tcPr>
            <w:tcW w:w="15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30年期承包经营权</w:t>
            </w:r>
          </w:p>
        </w:tc>
        <w:tc>
          <w:tcPr>
            <w:tcW w:w="121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33.43 </w:t>
            </w:r>
          </w:p>
        </w:tc>
        <w:tc>
          <w:tcPr>
            <w:tcW w:w="106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22286.78</w:t>
            </w:r>
          </w:p>
        </w:tc>
        <w:tc>
          <w:tcPr>
            <w:tcW w:w="111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28.92 </w:t>
            </w:r>
          </w:p>
        </w:tc>
        <w:tc>
          <w:tcPr>
            <w:tcW w:w="100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19280.1</w:t>
            </w:r>
          </w:p>
        </w:tc>
        <w:tc>
          <w:tcPr>
            <w:tcW w:w="97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 xml:space="preserve">25.78 </w:t>
            </w:r>
          </w:p>
        </w:tc>
        <w:tc>
          <w:tcPr>
            <w:tcW w:w="1019"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17186.75</w:t>
            </w:r>
          </w:p>
        </w:tc>
      </w:tr>
      <w:tr>
        <w:tblPrEx>
          <w:tblCellMar>
            <w:top w:w="0" w:type="dxa"/>
            <w:left w:w="0" w:type="dxa"/>
            <w:bottom w:w="0" w:type="dxa"/>
            <w:right w:w="0" w:type="dxa"/>
          </w:tblCellMar>
        </w:tblPrEx>
        <w:trPr>
          <w:trHeight w:val="340" w:hRule="atLeast"/>
          <w:jc w:val="center"/>
        </w:trPr>
        <w:tc>
          <w:tcPr>
            <w:tcW w:w="15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30年期经营权</w:t>
            </w:r>
          </w:p>
        </w:tc>
        <w:tc>
          <w:tcPr>
            <w:tcW w:w="121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6.24</w:t>
            </w:r>
          </w:p>
        </w:tc>
        <w:tc>
          <w:tcPr>
            <w:tcW w:w="106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4159.05</w:t>
            </w:r>
          </w:p>
        </w:tc>
        <w:tc>
          <w:tcPr>
            <w:tcW w:w="111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5.17</w:t>
            </w:r>
          </w:p>
        </w:tc>
        <w:tc>
          <w:tcPr>
            <w:tcW w:w="100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3448.94</w:t>
            </w:r>
          </w:p>
        </w:tc>
        <w:tc>
          <w:tcPr>
            <w:tcW w:w="97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4.42</w:t>
            </w:r>
          </w:p>
        </w:tc>
        <w:tc>
          <w:tcPr>
            <w:tcW w:w="1019"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0"/>
                <w:szCs w:val="21"/>
              </w:rPr>
            </w:pPr>
            <w:r>
              <w:rPr>
                <w:rFonts w:hint="default" w:ascii="Times New Roman" w:hAnsi="Times New Roman" w:eastAsia="仿宋_GB2312" w:cs="Times New Roman"/>
                <w:color w:val="000000"/>
                <w:kern w:val="0"/>
                <w:sz w:val="20"/>
                <w:szCs w:val="21"/>
              </w:rPr>
              <w:t>2943.76</w:t>
            </w:r>
          </w:p>
        </w:tc>
      </w:tr>
    </w:tbl>
    <w:p>
      <w:pPr>
        <w:pStyle w:val="8"/>
        <w:snapToGrid/>
        <w:spacing w:line="560" w:lineRule="exact"/>
        <w:rPr>
          <w:rFonts w:hint="default" w:ascii="Times New Roman" w:hAnsi="Times New Roman" w:eastAsia="黑体" w:cs="Times New Roman"/>
          <w:b w:val="0"/>
        </w:rPr>
      </w:pPr>
    </w:p>
    <w:p>
      <w:pPr>
        <w:pStyle w:val="8"/>
        <w:snapToGrid/>
        <w:spacing w:line="560" w:lineRule="exact"/>
        <w:rPr>
          <w:rFonts w:hint="default" w:ascii="Times New Roman" w:hAnsi="Times New Roman" w:eastAsia="黑体" w:cs="Times New Roman"/>
          <w:b w:val="0"/>
        </w:rPr>
      </w:pPr>
      <w:r>
        <w:rPr>
          <w:rFonts w:hint="default" w:ascii="Times New Roman" w:hAnsi="Times New Roman" w:eastAsia="黑体" w:cs="Times New Roman"/>
          <w:b w:val="0"/>
        </w:rPr>
        <w:t>四、2020年度城区标定地价评估</w:t>
      </w:r>
    </w:p>
    <w:p>
      <w:pPr>
        <w:ind w:firstLine="643"/>
        <w:jc w:val="left"/>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（一）标定地价内涵</w:t>
      </w:r>
    </w:p>
    <w:p>
      <w:pPr>
        <w:jc w:val="left"/>
        <w:rPr>
          <w:rFonts w:hint="default" w:ascii="Times New Roman" w:hAnsi="Times New Roman" w:cs="Times New Roman"/>
          <w:sz w:val="32"/>
          <w:szCs w:val="32"/>
        </w:rPr>
      </w:pPr>
      <w:r>
        <w:rPr>
          <w:rFonts w:hint="default" w:ascii="Times New Roman" w:hAnsi="Times New Roman" w:cs="Times New Roman"/>
          <w:sz w:val="32"/>
          <w:szCs w:val="32"/>
        </w:rPr>
        <w:t>依据《标定地价规程》（TD/T 1052-2017），标定地价是政府为管理需要确定的，标准宗地在现状开发利用、正常市场条件、法定最高使用年期或政策规定年期下，某一估价期日的土地权利价格。</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（1）估价期日：</w:t>
      </w:r>
      <w:r>
        <w:rPr>
          <w:rFonts w:hint="default" w:ascii="Times New Roman" w:hAnsi="Times New Roman" w:cs="Times New Roman"/>
          <w:sz w:val="32"/>
          <w:szCs w:val="32"/>
        </w:rPr>
        <w:t>2021年1月1日。</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（2）权利特征：</w:t>
      </w:r>
      <w:r>
        <w:rPr>
          <w:rFonts w:hint="default" w:ascii="Times New Roman" w:hAnsi="Times New Roman" w:cs="Times New Roman"/>
          <w:sz w:val="32"/>
          <w:szCs w:val="32"/>
        </w:rPr>
        <w:t>相对完整的土地权利价格，不考虑抵押权、地役权等他项权利的限制。</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（3）价格类型：</w:t>
      </w:r>
      <w:r>
        <w:rPr>
          <w:rFonts w:hint="default" w:ascii="Times New Roman" w:hAnsi="Times New Roman" w:cs="Times New Roman"/>
          <w:sz w:val="32"/>
          <w:szCs w:val="32"/>
        </w:rPr>
        <w:t>反映标准宗地的使用权类型现状。本次标定地价价格类型为出让土地使用权价格。</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（4）使用年期：</w:t>
      </w:r>
      <w:r>
        <w:rPr>
          <w:rFonts w:hint="default" w:ascii="Times New Roman" w:hAnsi="Times New Roman" w:cs="Times New Roman"/>
          <w:sz w:val="32"/>
          <w:szCs w:val="32"/>
        </w:rPr>
        <w:t>出让土地的使用年期按各用途的法定最高年期或政策规定的年期设定。本次标定地价使用年期为商服用地40年、住宅用地70年、工矿仓储用地40年。</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（5）容积率：</w:t>
      </w:r>
      <w:r>
        <w:rPr>
          <w:rFonts w:hint="default" w:ascii="Times New Roman" w:hAnsi="Times New Roman" w:cs="Times New Roman"/>
          <w:sz w:val="32"/>
          <w:szCs w:val="32"/>
        </w:rPr>
        <w:t>根据标准宗地现状容积率进行设定。</w:t>
      </w:r>
    </w:p>
    <w:p>
      <w:pPr>
        <w:ind w:firstLine="643"/>
        <w:jc w:val="left"/>
        <w:rPr>
          <w:rFonts w:hint="default" w:ascii="Times New Roman" w:hAnsi="Times New Roman" w:cs="Times New Roman"/>
          <w:sz w:val="32"/>
          <w:szCs w:val="32"/>
        </w:rPr>
      </w:pPr>
      <w:r>
        <w:rPr>
          <w:rFonts w:hint="default" w:ascii="Times New Roman" w:hAnsi="Times New Roman" w:cs="Times New Roman"/>
          <w:b/>
          <w:sz w:val="32"/>
          <w:szCs w:val="32"/>
        </w:rPr>
        <w:t>（6）市场条件：</w:t>
      </w:r>
      <w:r>
        <w:rPr>
          <w:rFonts w:hint="default" w:ascii="Times New Roman" w:hAnsi="Times New Roman" w:cs="Times New Roman"/>
          <w:sz w:val="32"/>
          <w:szCs w:val="32"/>
        </w:rPr>
        <w:t>本次评估的市场条件为平稳正常情况、公开竞争市场条件。</w:t>
      </w:r>
    </w:p>
    <w:p>
      <w:pPr>
        <w:ind w:firstLine="643"/>
        <w:jc w:val="left"/>
        <w:rPr>
          <w:rFonts w:hint="default" w:ascii="Times New Roman" w:hAnsi="Times New Roman" w:cs="Times New Roman"/>
          <w:b/>
          <w:sz w:val="32"/>
          <w:szCs w:val="32"/>
        </w:rPr>
      </w:pPr>
      <w:r>
        <w:rPr>
          <w:rFonts w:hint="default" w:ascii="Times New Roman" w:hAnsi="Times New Roman" w:cs="Times New Roman"/>
          <w:b/>
          <w:sz w:val="32"/>
          <w:szCs w:val="32"/>
        </w:rPr>
        <w:t>（7）价格表现形式：</w:t>
      </w:r>
      <w:r>
        <w:rPr>
          <w:rFonts w:hint="default" w:ascii="Times New Roman" w:hAnsi="Times New Roman" w:cs="Times New Roman"/>
          <w:sz w:val="32"/>
          <w:szCs w:val="32"/>
        </w:rPr>
        <w:t>商服和住宅用地标准宗地评估价格表现形式为楼面地价和地面地价，工矿仓储用地标准宗地评估价格表现形式为地面地价。</w:t>
      </w:r>
    </w:p>
    <w:p>
      <w:pPr>
        <w:ind w:firstLine="643"/>
        <w:jc w:val="left"/>
        <w:rPr>
          <w:rFonts w:hint="default" w:ascii="Times New Roman" w:hAnsi="Times New Roman" w:cs="Times New Roman"/>
          <w:b/>
          <w:bCs/>
          <w:sz w:val="32"/>
          <w:szCs w:val="32"/>
        </w:rPr>
      </w:pPr>
      <w:r>
        <w:rPr>
          <w:rFonts w:hint="default" w:ascii="Times New Roman" w:hAnsi="Times New Roman" w:cs="Times New Roman"/>
          <w:b/>
          <w:bCs/>
          <w:sz w:val="32"/>
          <w:szCs w:val="32"/>
        </w:rPr>
        <w:t>（二）标定区域的划分和标准宗地的确定</w:t>
      </w:r>
    </w:p>
    <w:p>
      <w:pPr>
        <w:jc w:val="left"/>
        <w:rPr>
          <w:rFonts w:hint="default" w:ascii="Times New Roman" w:hAnsi="Times New Roman" w:cs="Times New Roman"/>
          <w:sz w:val="32"/>
          <w:szCs w:val="32"/>
        </w:rPr>
      </w:pPr>
      <w:r>
        <w:rPr>
          <w:rFonts w:hint="default" w:ascii="Times New Roman" w:hAnsi="Times New Roman" w:cs="Times New Roman"/>
          <w:sz w:val="32"/>
          <w:szCs w:val="32"/>
        </w:rPr>
        <w:t>根据标定区域的划分原则和划分要求，此次金湖县城区共划分了3个商服标定区域、5个住宅标定区域、4个工矿仓储标定区域；商服用地设立了3个标准宗地、住宅用地设立了5个标准宗地、工矿仓储用地设立了4个标准宗地。</w:t>
      </w:r>
    </w:p>
    <w:p>
      <w:pPr>
        <w:spacing w:afterLines="50"/>
        <w:ind w:firstLine="0" w:firstLineChars="0"/>
        <w:jc w:val="center"/>
        <w:rPr>
          <w:rFonts w:hint="default" w:ascii="Times New Roman" w:hAnsi="Times New Roman" w:cs="Times New Roman"/>
          <w:b/>
          <w:sz w:val="32"/>
          <w:szCs w:val="32"/>
        </w:rPr>
      </w:pPr>
    </w:p>
    <w:p>
      <w:pPr>
        <w:spacing w:afterLines="5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表4-1  金湖县标定地价评估结果表</w:t>
      </w:r>
    </w:p>
    <w:tbl>
      <w:tblPr>
        <w:tblStyle w:val="9"/>
        <w:tblW w:w="5527" w:type="pct"/>
        <w:jc w:val="center"/>
        <w:tblLayout w:type="autofit"/>
        <w:tblCellMar>
          <w:top w:w="0" w:type="dxa"/>
          <w:left w:w="0" w:type="dxa"/>
          <w:bottom w:w="0" w:type="dxa"/>
          <w:right w:w="0" w:type="dxa"/>
        </w:tblCellMar>
      </w:tblPr>
      <w:tblGrid>
        <w:gridCol w:w="414"/>
        <w:gridCol w:w="1554"/>
        <w:gridCol w:w="1500"/>
        <w:gridCol w:w="1452"/>
        <w:gridCol w:w="1051"/>
        <w:gridCol w:w="718"/>
        <w:gridCol w:w="784"/>
        <w:gridCol w:w="519"/>
        <w:gridCol w:w="819"/>
        <w:gridCol w:w="867"/>
      </w:tblGrid>
      <w:tr>
        <w:tblPrEx>
          <w:tblCellMar>
            <w:top w:w="0" w:type="dxa"/>
            <w:left w:w="0" w:type="dxa"/>
            <w:bottom w:w="0" w:type="dxa"/>
            <w:right w:w="0" w:type="dxa"/>
          </w:tblCellMar>
        </w:tblPrEx>
        <w:trPr>
          <w:trHeight w:val="23" w:hRule="atLeast"/>
          <w:tblHeader/>
          <w:jc w:val="center"/>
        </w:trPr>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eastAsia" w:ascii="黑体" w:hAnsi="黑体" w:eastAsia="黑体" w:cs="黑体"/>
                <w:color w:val="000000"/>
                <w:kern w:val="0"/>
                <w:sz w:val="19"/>
                <w:szCs w:val="19"/>
              </w:rPr>
            </w:pPr>
            <w:r>
              <w:rPr>
                <w:rFonts w:hint="eastAsia" w:ascii="黑体" w:hAnsi="黑体" w:eastAsia="黑体" w:cs="黑体"/>
                <w:color w:val="000000"/>
                <w:kern w:val="0"/>
                <w:sz w:val="19"/>
                <w:szCs w:val="19"/>
              </w:rPr>
              <w:t>序号</w:t>
            </w:r>
          </w:p>
        </w:tc>
        <w:tc>
          <w:tcPr>
            <w:tcW w:w="80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eastAsia" w:ascii="黑体" w:hAnsi="黑体" w:eastAsia="黑体" w:cs="黑体"/>
                <w:color w:val="000000"/>
                <w:kern w:val="0"/>
                <w:sz w:val="19"/>
                <w:szCs w:val="19"/>
              </w:rPr>
            </w:pPr>
            <w:r>
              <w:rPr>
                <w:rFonts w:hint="eastAsia" w:ascii="黑体" w:hAnsi="黑体" w:eastAsia="黑体" w:cs="黑体"/>
                <w:color w:val="000000"/>
                <w:kern w:val="0"/>
                <w:sz w:val="19"/>
                <w:szCs w:val="19"/>
              </w:rPr>
              <w:t>标准宗地编号</w:t>
            </w:r>
          </w:p>
        </w:tc>
        <w:tc>
          <w:tcPr>
            <w:tcW w:w="7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eastAsia" w:ascii="黑体" w:hAnsi="黑体" w:eastAsia="黑体" w:cs="黑体"/>
                <w:color w:val="000000"/>
                <w:kern w:val="0"/>
                <w:sz w:val="19"/>
                <w:szCs w:val="19"/>
              </w:rPr>
            </w:pPr>
            <w:r>
              <w:rPr>
                <w:rFonts w:hint="eastAsia" w:ascii="黑体" w:hAnsi="黑体" w:eastAsia="黑体" w:cs="黑体"/>
                <w:color w:val="000000"/>
                <w:kern w:val="0"/>
                <w:sz w:val="19"/>
                <w:szCs w:val="19"/>
              </w:rPr>
              <w:t>宗地名称</w:t>
            </w:r>
          </w:p>
        </w:tc>
        <w:tc>
          <w:tcPr>
            <w:tcW w:w="7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eastAsia" w:ascii="黑体" w:hAnsi="黑体" w:eastAsia="黑体" w:cs="黑体"/>
                <w:color w:val="000000"/>
                <w:kern w:val="0"/>
                <w:sz w:val="19"/>
                <w:szCs w:val="19"/>
              </w:rPr>
            </w:pPr>
            <w:r>
              <w:rPr>
                <w:rFonts w:hint="eastAsia" w:ascii="黑体" w:hAnsi="黑体" w:eastAsia="黑体" w:cs="黑体"/>
                <w:color w:val="000000"/>
                <w:kern w:val="0"/>
                <w:sz w:val="19"/>
                <w:szCs w:val="19"/>
              </w:rPr>
              <w:t>位置</w:t>
            </w:r>
          </w:p>
        </w:tc>
        <w:tc>
          <w:tcPr>
            <w:tcW w:w="54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eastAsia" w:ascii="黑体" w:hAnsi="黑体" w:eastAsia="黑体" w:cs="黑体"/>
                <w:color w:val="000000"/>
                <w:kern w:val="0"/>
                <w:sz w:val="19"/>
                <w:szCs w:val="19"/>
              </w:rPr>
            </w:pPr>
            <w:r>
              <w:rPr>
                <w:rFonts w:hint="eastAsia" w:ascii="黑体" w:hAnsi="黑体" w:eastAsia="黑体" w:cs="黑体"/>
                <w:color w:val="000000"/>
                <w:kern w:val="0"/>
                <w:sz w:val="19"/>
                <w:szCs w:val="19"/>
              </w:rPr>
              <w:t>用途（二级）</w:t>
            </w:r>
          </w:p>
        </w:tc>
        <w:tc>
          <w:tcPr>
            <w:tcW w:w="3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eastAsia" w:ascii="黑体" w:hAnsi="黑体" w:eastAsia="黑体" w:cs="黑体"/>
                <w:color w:val="000000"/>
                <w:kern w:val="0"/>
                <w:sz w:val="19"/>
                <w:szCs w:val="19"/>
              </w:rPr>
            </w:pPr>
            <w:r>
              <w:rPr>
                <w:rFonts w:hint="eastAsia" w:ascii="黑体" w:hAnsi="黑体" w:eastAsia="黑体" w:cs="黑体"/>
                <w:color w:val="000000"/>
                <w:kern w:val="0"/>
                <w:sz w:val="19"/>
                <w:szCs w:val="19"/>
              </w:rPr>
              <w:t>权利</w:t>
            </w:r>
          </w:p>
          <w:p>
            <w:pPr>
              <w:widowControl/>
              <w:adjustRightInd w:val="0"/>
              <w:snapToGrid w:val="0"/>
              <w:spacing w:line="240" w:lineRule="auto"/>
              <w:ind w:firstLine="0" w:firstLineChars="0"/>
              <w:jc w:val="center"/>
              <w:rPr>
                <w:rFonts w:hint="eastAsia" w:ascii="黑体" w:hAnsi="黑体" w:eastAsia="黑体" w:cs="黑体"/>
                <w:color w:val="000000"/>
                <w:kern w:val="0"/>
                <w:sz w:val="19"/>
                <w:szCs w:val="19"/>
              </w:rPr>
            </w:pPr>
            <w:r>
              <w:rPr>
                <w:rFonts w:hint="eastAsia" w:ascii="黑体" w:hAnsi="黑体" w:eastAsia="黑体" w:cs="黑体"/>
                <w:color w:val="000000"/>
                <w:kern w:val="0"/>
                <w:sz w:val="19"/>
                <w:szCs w:val="19"/>
              </w:rPr>
              <w:t>类型</w:t>
            </w:r>
          </w:p>
        </w:tc>
        <w:tc>
          <w:tcPr>
            <w:tcW w:w="40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eastAsia" w:ascii="黑体" w:hAnsi="黑体" w:eastAsia="黑体" w:cs="黑体"/>
                <w:color w:val="000000"/>
                <w:kern w:val="0"/>
                <w:sz w:val="19"/>
                <w:szCs w:val="19"/>
              </w:rPr>
            </w:pPr>
            <w:r>
              <w:rPr>
                <w:rFonts w:hint="eastAsia" w:ascii="黑体" w:hAnsi="黑体" w:eastAsia="黑体" w:cs="黑体"/>
                <w:color w:val="000000"/>
                <w:kern w:val="0"/>
                <w:sz w:val="19"/>
                <w:szCs w:val="19"/>
              </w:rPr>
              <w:t>土地面积（公顷）</w:t>
            </w:r>
          </w:p>
        </w:tc>
        <w:tc>
          <w:tcPr>
            <w:tcW w:w="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eastAsia" w:ascii="黑体" w:hAnsi="黑体" w:eastAsia="黑体" w:cs="黑体"/>
                <w:color w:val="000000"/>
                <w:kern w:val="0"/>
                <w:sz w:val="19"/>
                <w:szCs w:val="19"/>
              </w:rPr>
            </w:pPr>
            <w:r>
              <w:rPr>
                <w:rFonts w:hint="eastAsia" w:ascii="黑体" w:hAnsi="黑体" w:eastAsia="黑体" w:cs="黑体"/>
                <w:color w:val="000000"/>
                <w:kern w:val="0"/>
                <w:sz w:val="19"/>
                <w:szCs w:val="19"/>
              </w:rPr>
              <w:t>容积率</w:t>
            </w:r>
          </w:p>
        </w:tc>
        <w:tc>
          <w:tcPr>
            <w:tcW w:w="42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eastAsia" w:ascii="黑体" w:hAnsi="黑体" w:eastAsia="黑体" w:cs="黑体"/>
                <w:color w:val="000000"/>
                <w:kern w:val="0"/>
                <w:sz w:val="19"/>
                <w:szCs w:val="19"/>
              </w:rPr>
            </w:pPr>
            <w:r>
              <w:rPr>
                <w:rFonts w:hint="eastAsia" w:ascii="黑体" w:hAnsi="黑体" w:eastAsia="黑体" w:cs="黑体"/>
                <w:color w:val="000000"/>
                <w:kern w:val="0"/>
                <w:sz w:val="19"/>
                <w:szCs w:val="19"/>
              </w:rPr>
              <w:t>地面地价</w:t>
            </w:r>
          </w:p>
          <w:p>
            <w:pPr>
              <w:widowControl/>
              <w:adjustRightInd w:val="0"/>
              <w:snapToGrid w:val="0"/>
              <w:spacing w:line="240" w:lineRule="auto"/>
              <w:ind w:firstLine="0" w:firstLineChars="0"/>
              <w:rPr>
                <w:rFonts w:hint="eastAsia" w:ascii="黑体" w:hAnsi="黑体" w:eastAsia="黑体" w:cs="黑体"/>
                <w:color w:val="000000"/>
                <w:kern w:val="0"/>
                <w:sz w:val="19"/>
                <w:szCs w:val="19"/>
              </w:rPr>
            </w:pPr>
            <w:r>
              <w:rPr>
                <w:rFonts w:hint="eastAsia" w:ascii="黑体" w:hAnsi="黑体" w:eastAsia="黑体" w:cs="黑体"/>
                <w:color w:val="000000"/>
                <w:kern w:val="0"/>
                <w:sz w:val="19"/>
                <w:szCs w:val="19"/>
              </w:rPr>
              <w:t>（元/平方米）</w:t>
            </w:r>
          </w:p>
        </w:tc>
        <w:tc>
          <w:tcPr>
            <w:tcW w:w="4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eastAsia" w:ascii="黑体" w:hAnsi="黑体" w:eastAsia="黑体" w:cs="黑体"/>
                <w:color w:val="000000"/>
                <w:kern w:val="0"/>
                <w:sz w:val="19"/>
                <w:szCs w:val="19"/>
              </w:rPr>
            </w:pPr>
            <w:r>
              <w:rPr>
                <w:rFonts w:hint="eastAsia" w:ascii="黑体" w:hAnsi="黑体" w:eastAsia="黑体" w:cs="黑体"/>
                <w:color w:val="000000"/>
                <w:kern w:val="0"/>
                <w:sz w:val="19"/>
                <w:szCs w:val="19"/>
              </w:rPr>
              <w:t>楼面地价</w:t>
            </w:r>
          </w:p>
          <w:p>
            <w:pPr>
              <w:widowControl/>
              <w:adjustRightInd w:val="0"/>
              <w:snapToGrid w:val="0"/>
              <w:spacing w:line="240" w:lineRule="auto"/>
              <w:ind w:firstLine="0" w:firstLineChars="0"/>
              <w:jc w:val="center"/>
              <w:rPr>
                <w:rFonts w:hint="eastAsia" w:ascii="黑体" w:hAnsi="黑体" w:eastAsia="黑体" w:cs="黑体"/>
                <w:color w:val="000000"/>
                <w:kern w:val="0"/>
                <w:sz w:val="19"/>
                <w:szCs w:val="19"/>
              </w:rPr>
            </w:pPr>
            <w:r>
              <w:rPr>
                <w:rFonts w:hint="eastAsia" w:ascii="黑体" w:hAnsi="黑体" w:eastAsia="黑体" w:cs="黑体"/>
                <w:color w:val="000000"/>
                <w:kern w:val="0"/>
                <w:sz w:val="19"/>
                <w:szCs w:val="19"/>
              </w:rPr>
              <w:t>（元/平方米）</w:t>
            </w:r>
          </w:p>
        </w:tc>
      </w:tr>
      <w:tr>
        <w:tblPrEx>
          <w:tblCellMar>
            <w:top w:w="0" w:type="dxa"/>
            <w:left w:w="0" w:type="dxa"/>
            <w:bottom w:w="0" w:type="dxa"/>
            <w:right w:w="0" w:type="dxa"/>
          </w:tblCellMar>
        </w:tblPrEx>
        <w:trPr>
          <w:trHeight w:val="510" w:hRule="exact"/>
          <w:jc w:val="center"/>
        </w:trPr>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w:t>
            </w:r>
          </w:p>
        </w:tc>
        <w:tc>
          <w:tcPr>
            <w:tcW w:w="80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320831S5000101</w:t>
            </w:r>
          </w:p>
        </w:tc>
        <w:tc>
          <w:tcPr>
            <w:tcW w:w="7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香港城</w:t>
            </w:r>
          </w:p>
        </w:tc>
        <w:tc>
          <w:tcPr>
            <w:tcW w:w="7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金湖路7号</w:t>
            </w:r>
          </w:p>
        </w:tc>
        <w:tc>
          <w:tcPr>
            <w:tcW w:w="54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其他商服用地</w:t>
            </w:r>
          </w:p>
        </w:tc>
        <w:tc>
          <w:tcPr>
            <w:tcW w:w="3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国有出让</w:t>
            </w:r>
          </w:p>
        </w:tc>
        <w:tc>
          <w:tcPr>
            <w:tcW w:w="40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3.23</w:t>
            </w:r>
          </w:p>
        </w:tc>
        <w:tc>
          <w:tcPr>
            <w:tcW w:w="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1.8</w:t>
            </w:r>
          </w:p>
        </w:tc>
        <w:tc>
          <w:tcPr>
            <w:tcW w:w="42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2079</w:t>
            </w:r>
          </w:p>
        </w:tc>
        <w:tc>
          <w:tcPr>
            <w:tcW w:w="4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1600</w:t>
            </w:r>
          </w:p>
        </w:tc>
      </w:tr>
      <w:tr>
        <w:tblPrEx>
          <w:tblCellMar>
            <w:top w:w="0" w:type="dxa"/>
            <w:left w:w="0" w:type="dxa"/>
            <w:bottom w:w="0" w:type="dxa"/>
            <w:right w:w="0" w:type="dxa"/>
          </w:tblCellMar>
        </w:tblPrEx>
        <w:trPr>
          <w:trHeight w:val="510" w:hRule="exact"/>
          <w:jc w:val="center"/>
        </w:trPr>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2</w:t>
            </w:r>
          </w:p>
        </w:tc>
        <w:tc>
          <w:tcPr>
            <w:tcW w:w="80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320831S5000201</w:t>
            </w:r>
          </w:p>
        </w:tc>
        <w:tc>
          <w:tcPr>
            <w:tcW w:w="7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桓裕广场</w:t>
            </w:r>
          </w:p>
        </w:tc>
        <w:tc>
          <w:tcPr>
            <w:tcW w:w="7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健康路30号</w:t>
            </w:r>
          </w:p>
        </w:tc>
        <w:tc>
          <w:tcPr>
            <w:tcW w:w="54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批发零售用地</w:t>
            </w:r>
          </w:p>
        </w:tc>
        <w:tc>
          <w:tcPr>
            <w:tcW w:w="3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国有出让</w:t>
            </w:r>
          </w:p>
        </w:tc>
        <w:tc>
          <w:tcPr>
            <w:tcW w:w="40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1.11</w:t>
            </w:r>
          </w:p>
        </w:tc>
        <w:tc>
          <w:tcPr>
            <w:tcW w:w="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2.0</w:t>
            </w:r>
          </w:p>
        </w:tc>
        <w:tc>
          <w:tcPr>
            <w:tcW w:w="42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3690</w:t>
            </w:r>
          </w:p>
        </w:tc>
        <w:tc>
          <w:tcPr>
            <w:tcW w:w="4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2306</w:t>
            </w:r>
          </w:p>
        </w:tc>
      </w:tr>
      <w:tr>
        <w:tblPrEx>
          <w:tblCellMar>
            <w:top w:w="0" w:type="dxa"/>
            <w:left w:w="0" w:type="dxa"/>
            <w:bottom w:w="0" w:type="dxa"/>
            <w:right w:w="0" w:type="dxa"/>
          </w:tblCellMar>
        </w:tblPrEx>
        <w:trPr>
          <w:trHeight w:val="510" w:hRule="exact"/>
          <w:jc w:val="center"/>
        </w:trPr>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w:t>
            </w:r>
          </w:p>
        </w:tc>
        <w:tc>
          <w:tcPr>
            <w:tcW w:w="80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320831S5000301</w:t>
            </w:r>
          </w:p>
        </w:tc>
        <w:tc>
          <w:tcPr>
            <w:tcW w:w="7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金城商厦</w:t>
            </w:r>
          </w:p>
        </w:tc>
        <w:tc>
          <w:tcPr>
            <w:tcW w:w="7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金湖路56号</w:t>
            </w:r>
          </w:p>
        </w:tc>
        <w:tc>
          <w:tcPr>
            <w:tcW w:w="54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其他商服用地</w:t>
            </w:r>
          </w:p>
        </w:tc>
        <w:tc>
          <w:tcPr>
            <w:tcW w:w="3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国有出让</w:t>
            </w:r>
          </w:p>
        </w:tc>
        <w:tc>
          <w:tcPr>
            <w:tcW w:w="40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0.32</w:t>
            </w:r>
          </w:p>
        </w:tc>
        <w:tc>
          <w:tcPr>
            <w:tcW w:w="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2.0</w:t>
            </w:r>
          </w:p>
        </w:tc>
        <w:tc>
          <w:tcPr>
            <w:tcW w:w="42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3064</w:t>
            </w:r>
          </w:p>
        </w:tc>
        <w:tc>
          <w:tcPr>
            <w:tcW w:w="4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2043</w:t>
            </w:r>
          </w:p>
        </w:tc>
      </w:tr>
      <w:tr>
        <w:tblPrEx>
          <w:tblCellMar>
            <w:top w:w="0" w:type="dxa"/>
            <w:left w:w="0" w:type="dxa"/>
            <w:bottom w:w="0" w:type="dxa"/>
            <w:right w:w="0" w:type="dxa"/>
          </w:tblCellMar>
        </w:tblPrEx>
        <w:trPr>
          <w:trHeight w:val="510" w:hRule="exact"/>
          <w:jc w:val="center"/>
        </w:trPr>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4</w:t>
            </w:r>
          </w:p>
        </w:tc>
        <w:tc>
          <w:tcPr>
            <w:tcW w:w="80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320831Z7000101</w:t>
            </w:r>
          </w:p>
        </w:tc>
        <w:tc>
          <w:tcPr>
            <w:tcW w:w="7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滨湖壹号</w:t>
            </w:r>
          </w:p>
        </w:tc>
        <w:tc>
          <w:tcPr>
            <w:tcW w:w="7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景秀湾嘉园北150米</w:t>
            </w:r>
          </w:p>
        </w:tc>
        <w:tc>
          <w:tcPr>
            <w:tcW w:w="54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城镇住宅用地</w:t>
            </w:r>
          </w:p>
        </w:tc>
        <w:tc>
          <w:tcPr>
            <w:tcW w:w="3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国有出让</w:t>
            </w:r>
          </w:p>
        </w:tc>
        <w:tc>
          <w:tcPr>
            <w:tcW w:w="40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8.8</w:t>
            </w:r>
          </w:p>
        </w:tc>
        <w:tc>
          <w:tcPr>
            <w:tcW w:w="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1.9</w:t>
            </w:r>
          </w:p>
        </w:tc>
        <w:tc>
          <w:tcPr>
            <w:tcW w:w="42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2700</w:t>
            </w:r>
          </w:p>
        </w:tc>
        <w:tc>
          <w:tcPr>
            <w:tcW w:w="4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1421</w:t>
            </w:r>
          </w:p>
        </w:tc>
      </w:tr>
      <w:tr>
        <w:tblPrEx>
          <w:tblCellMar>
            <w:top w:w="0" w:type="dxa"/>
            <w:left w:w="0" w:type="dxa"/>
            <w:bottom w:w="0" w:type="dxa"/>
            <w:right w:w="0" w:type="dxa"/>
          </w:tblCellMar>
        </w:tblPrEx>
        <w:trPr>
          <w:trHeight w:val="510" w:hRule="exact"/>
          <w:jc w:val="center"/>
        </w:trPr>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5</w:t>
            </w:r>
          </w:p>
        </w:tc>
        <w:tc>
          <w:tcPr>
            <w:tcW w:w="80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320831Z7000201</w:t>
            </w:r>
          </w:p>
        </w:tc>
        <w:tc>
          <w:tcPr>
            <w:tcW w:w="7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都市华城</w:t>
            </w:r>
          </w:p>
        </w:tc>
        <w:tc>
          <w:tcPr>
            <w:tcW w:w="7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衡阳路228号</w:t>
            </w:r>
          </w:p>
        </w:tc>
        <w:tc>
          <w:tcPr>
            <w:tcW w:w="54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城镇住宅用地</w:t>
            </w:r>
          </w:p>
        </w:tc>
        <w:tc>
          <w:tcPr>
            <w:tcW w:w="3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国有出让</w:t>
            </w:r>
          </w:p>
        </w:tc>
        <w:tc>
          <w:tcPr>
            <w:tcW w:w="40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14.62</w:t>
            </w:r>
          </w:p>
        </w:tc>
        <w:tc>
          <w:tcPr>
            <w:tcW w:w="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1.9</w:t>
            </w:r>
          </w:p>
        </w:tc>
        <w:tc>
          <w:tcPr>
            <w:tcW w:w="42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3120</w:t>
            </w:r>
          </w:p>
        </w:tc>
        <w:tc>
          <w:tcPr>
            <w:tcW w:w="4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1642</w:t>
            </w:r>
          </w:p>
        </w:tc>
      </w:tr>
      <w:tr>
        <w:tblPrEx>
          <w:tblCellMar>
            <w:top w:w="0" w:type="dxa"/>
            <w:left w:w="0" w:type="dxa"/>
            <w:bottom w:w="0" w:type="dxa"/>
            <w:right w:w="0" w:type="dxa"/>
          </w:tblCellMar>
        </w:tblPrEx>
        <w:trPr>
          <w:trHeight w:val="510" w:hRule="exact"/>
          <w:jc w:val="center"/>
        </w:trPr>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6</w:t>
            </w:r>
          </w:p>
        </w:tc>
        <w:tc>
          <w:tcPr>
            <w:tcW w:w="80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320831Z7000301</w:t>
            </w:r>
          </w:p>
        </w:tc>
        <w:tc>
          <w:tcPr>
            <w:tcW w:w="7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金建橄榄城</w:t>
            </w:r>
          </w:p>
        </w:tc>
        <w:tc>
          <w:tcPr>
            <w:tcW w:w="7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人民路198号</w:t>
            </w:r>
          </w:p>
        </w:tc>
        <w:tc>
          <w:tcPr>
            <w:tcW w:w="54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城镇住宅用地</w:t>
            </w:r>
          </w:p>
        </w:tc>
        <w:tc>
          <w:tcPr>
            <w:tcW w:w="3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国有出让</w:t>
            </w:r>
          </w:p>
        </w:tc>
        <w:tc>
          <w:tcPr>
            <w:tcW w:w="40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7.63</w:t>
            </w:r>
          </w:p>
        </w:tc>
        <w:tc>
          <w:tcPr>
            <w:tcW w:w="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1.8</w:t>
            </w:r>
          </w:p>
        </w:tc>
        <w:tc>
          <w:tcPr>
            <w:tcW w:w="42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1957</w:t>
            </w:r>
          </w:p>
        </w:tc>
        <w:tc>
          <w:tcPr>
            <w:tcW w:w="4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1087</w:t>
            </w:r>
          </w:p>
        </w:tc>
      </w:tr>
      <w:tr>
        <w:tblPrEx>
          <w:tblCellMar>
            <w:top w:w="0" w:type="dxa"/>
            <w:left w:w="0" w:type="dxa"/>
            <w:bottom w:w="0" w:type="dxa"/>
            <w:right w:w="0" w:type="dxa"/>
          </w:tblCellMar>
        </w:tblPrEx>
        <w:trPr>
          <w:trHeight w:val="510" w:hRule="exact"/>
          <w:jc w:val="center"/>
        </w:trPr>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7</w:t>
            </w:r>
          </w:p>
        </w:tc>
        <w:tc>
          <w:tcPr>
            <w:tcW w:w="80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320831Z7000401</w:t>
            </w:r>
          </w:p>
        </w:tc>
        <w:tc>
          <w:tcPr>
            <w:tcW w:w="7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碧桂园</w:t>
            </w:r>
          </w:p>
        </w:tc>
        <w:tc>
          <w:tcPr>
            <w:tcW w:w="7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利农路88号</w:t>
            </w:r>
          </w:p>
        </w:tc>
        <w:tc>
          <w:tcPr>
            <w:tcW w:w="54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城镇住宅用地</w:t>
            </w:r>
          </w:p>
        </w:tc>
        <w:tc>
          <w:tcPr>
            <w:tcW w:w="3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国有出让</w:t>
            </w:r>
          </w:p>
        </w:tc>
        <w:tc>
          <w:tcPr>
            <w:tcW w:w="40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2.38</w:t>
            </w:r>
          </w:p>
        </w:tc>
        <w:tc>
          <w:tcPr>
            <w:tcW w:w="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1.6</w:t>
            </w:r>
          </w:p>
        </w:tc>
        <w:tc>
          <w:tcPr>
            <w:tcW w:w="42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1312</w:t>
            </w:r>
          </w:p>
        </w:tc>
        <w:tc>
          <w:tcPr>
            <w:tcW w:w="4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820</w:t>
            </w:r>
          </w:p>
        </w:tc>
      </w:tr>
      <w:tr>
        <w:tblPrEx>
          <w:tblCellMar>
            <w:top w:w="0" w:type="dxa"/>
            <w:left w:w="0" w:type="dxa"/>
            <w:bottom w:w="0" w:type="dxa"/>
            <w:right w:w="0" w:type="dxa"/>
          </w:tblCellMar>
        </w:tblPrEx>
        <w:trPr>
          <w:trHeight w:val="510" w:hRule="exact"/>
          <w:jc w:val="center"/>
        </w:trPr>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8</w:t>
            </w:r>
          </w:p>
        </w:tc>
        <w:tc>
          <w:tcPr>
            <w:tcW w:w="80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320831Z7000501</w:t>
            </w:r>
          </w:p>
        </w:tc>
        <w:tc>
          <w:tcPr>
            <w:tcW w:w="7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金建和园</w:t>
            </w:r>
          </w:p>
        </w:tc>
        <w:tc>
          <w:tcPr>
            <w:tcW w:w="7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神华东路北100米</w:t>
            </w:r>
          </w:p>
        </w:tc>
        <w:tc>
          <w:tcPr>
            <w:tcW w:w="54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城镇住宅用地</w:t>
            </w:r>
          </w:p>
        </w:tc>
        <w:tc>
          <w:tcPr>
            <w:tcW w:w="3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国有出让</w:t>
            </w:r>
          </w:p>
        </w:tc>
        <w:tc>
          <w:tcPr>
            <w:tcW w:w="40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7.7</w:t>
            </w:r>
          </w:p>
        </w:tc>
        <w:tc>
          <w:tcPr>
            <w:tcW w:w="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1.6</w:t>
            </w:r>
          </w:p>
        </w:tc>
        <w:tc>
          <w:tcPr>
            <w:tcW w:w="42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1285</w:t>
            </w:r>
          </w:p>
        </w:tc>
        <w:tc>
          <w:tcPr>
            <w:tcW w:w="4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803</w:t>
            </w:r>
          </w:p>
        </w:tc>
      </w:tr>
      <w:tr>
        <w:tblPrEx>
          <w:tblCellMar>
            <w:top w:w="0" w:type="dxa"/>
            <w:left w:w="0" w:type="dxa"/>
            <w:bottom w:w="0" w:type="dxa"/>
            <w:right w:w="0" w:type="dxa"/>
          </w:tblCellMar>
        </w:tblPrEx>
        <w:trPr>
          <w:trHeight w:val="510" w:hRule="exact"/>
          <w:jc w:val="center"/>
        </w:trPr>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9</w:t>
            </w:r>
          </w:p>
        </w:tc>
        <w:tc>
          <w:tcPr>
            <w:tcW w:w="80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320831G6000101</w:t>
            </w:r>
          </w:p>
        </w:tc>
        <w:tc>
          <w:tcPr>
            <w:tcW w:w="7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江苏理士电池有限公司</w:t>
            </w:r>
          </w:p>
        </w:tc>
        <w:tc>
          <w:tcPr>
            <w:tcW w:w="7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神华大道399号</w:t>
            </w:r>
          </w:p>
        </w:tc>
        <w:tc>
          <w:tcPr>
            <w:tcW w:w="54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工业用地</w:t>
            </w:r>
          </w:p>
        </w:tc>
        <w:tc>
          <w:tcPr>
            <w:tcW w:w="3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国有出让</w:t>
            </w:r>
          </w:p>
        </w:tc>
        <w:tc>
          <w:tcPr>
            <w:tcW w:w="40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19.37</w:t>
            </w:r>
          </w:p>
        </w:tc>
        <w:tc>
          <w:tcPr>
            <w:tcW w:w="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w:t>
            </w:r>
          </w:p>
        </w:tc>
        <w:tc>
          <w:tcPr>
            <w:tcW w:w="42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193</w:t>
            </w:r>
          </w:p>
        </w:tc>
        <w:tc>
          <w:tcPr>
            <w:tcW w:w="4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193</w:t>
            </w:r>
          </w:p>
        </w:tc>
      </w:tr>
      <w:tr>
        <w:tblPrEx>
          <w:tblCellMar>
            <w:top w:w="0" w:type="dxa"/>
            <w:left w:w="0" w:type="dxa"/>
            <w:bottom w:w="0" w:type="dxa"/>
            <w:right w:w="0" w:type="dxa"/>
          </w:tblCellMar>
        </w:tblPrEx>
        <w:trPr>
          <w:trHeight w:val="510" w:hRule="atLeast"/>
          <w:jc w:val="center"/>
        </w:trPr>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10</w:t>
            </w:r>
          </w:p>
        </w:tc>
        <w:tc>
          <w:tcPr>
            <w:tcW w:w="80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320831G6000201</w:t>
            </w:r>
          </w:p>
        </w:tc>
        <w:tc>
          <w:tcPr>
            <w:tcW w:w="7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江苏派尔克汽车产品有限公司</w:t>
            </w:r>
          </w:p>
        </w:tc>
        <w:tc>
          <w:tcPr>
            <w:tcW w:w="7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开发区汽摩园工园路南侧、西一路西侧</w:t>
            </w:r>
          </w:p>
        </w:tc>
        <w:tc>
          <w:tcPr>
            <w:tcW w:w="54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工业用地</w:t>
            </w:r>
          </w:p>
        </w:tc>
        <w:tc>
          <w:tcPr>
            <w:tcW w:w="3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国有出让</w:t>
            </w:r>
          </w:p>
        </w:tc>
        <w:tc>
          <w:tcPr>
            <w:tcW w:w="40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4.44</w:t>
            </w:r>
          </w:p>
        </w:tc>
        <w:tc>
          <w:tcPr>
            <w:tcW w:w="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w:t>
            </w:r>
          </w:p>
        </w:tc>
        <w:tc>
          <w:tcPr>
            <w:tcW w:w="42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192</w:t>
            </w:r>
          </w:p>
        </w:tc>
        <w:tc>
          <w:tcPr>
            <w:tcW w:w="4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192</w:t>
            </w:r>
          </w:p>
        </w:tc>
      </w:tr>
      <w:tr>
        <w:tblPrEx>
          <w:tblCellMar>
            <w:top w:w="0" w:type="dxa"/>
            <w:left w:w="0" w:type="dxa"/>
            <w:bottom w:w="0" w:type="dxa"/>
            <w:right w:w="0" w:type="dxa"/>
          </w:tblCellMar>
        </w:tblPrEx>
        <w:trPr>
          <w:trHeight w:val="510" w:hRule="atLeast"/>
          <w:jc w:val="center"/>
        </w:trPr>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11</w:t>
            </w:r>
          </w:p>
        </w:tc>
        <w:tc>
          <w:tcPr>
            <w:tcW w:w="80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320831G6000301</w:t>
            </w:r>
          </w:p>
        </w:tc>
        <w:tc>
          <w:tcPr>
            <w:tcW w:w="7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江苏神华药业有限公司</w:t>
            </w:r>
          </w:p>
        </w:tc>
        <w:tc>
          <w:tcPr>
            <w:tcW w:w="7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神华大道188号</w:t>
            </w:r>
          </w:p>
        </w:tc>
        <w:tc>
          <w:tcPr>
            <w:tcW w:w="54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工业用地</w:t>
            </w:r>
          </w:p>
        </w:tc>
        <w:tc>
          <w:tcPr>
            <w:tcW w:w="3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国有出让</w:t>
            </w:r>
          </w:p>
        </w:tc>
        <w:tc>
          <w:tcPr>
            <w:tcW w:w="40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9.45</w:t>
            </w:r>
          </w:p>
        </w:tc>
        <w:tc>
          <w:tcPr>
            <w:tcW w:w="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w:t>
            </w:r>
          </w:p>
        </w:tc>
        <w:tc>
          <w:tcPr>
            <w:tcW w:w="42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230</w:t>
            </w:r>
          </w:p>
        </w:tc>
        <w:tc>
          <w:tcPr>
            <w:tcW w:w="4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230</w:t>
            </w:r>
          </w:p>
        </w:tc>
      </w:tr>
      <w:tr>
        <w:tblPrEx>
          <w:tblCellMar>
            <w:top w:w="0" w:type="dxa"/>
            <w:left w:w="0" w:type="dxa"/>
            <w:bottom w:w="0" w:type="dxa"/>
            <w:right w:w="0" w:type="dxa"/>
          </w:tblCellMar>
        </w:tblPrEx>
        <w:trPr>
          <w:trHeight w:val="510" w:hRule="atLeast"/>
          <w:jc w:val="center"/>
        </w:trPr>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12</w:t>
            </w:r>
          </w:p>
        </w:tc>
        <w:tc>
          <w:tcPr>
            <w:tcW w:w="80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320831G6000401</w:t>
            </w:r>
          </w:p>
        </w:tc>
        <w:tc>
          <w:tcPr>
            <w:tcW w:w="7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金湖通达机械有限公司</w:t>
            </w:r>
          </w:p>
        </w:tc>
        <w:tc>
          <w:tcPr>
            <w:tcW w:w="7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大兴工业园区4期17号</w:t>
            </w:r>
          </w:p>
        </w:tc>
        <w:tc>
          <w:tcPr>
            <w:tcW w:w="54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工业用地</w:t>
            </w:r>
          </w:p>
        </w:tc>
        <w:tc>
          <w:tcPr>
            <w:tcW w:w="3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国有出让</w:t>
            </w:r>
          </w:p>
        </w:tc>
        <w:tc>
          <w:tcPr>
            <w:tcW w:w="40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2.59</w:t>
            </w:r>
          </w:p>
        </w:tc>
        <w:tc>
          <w:tcPr>
            <w:tcW w:w="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w:t>
            </w:r>
          </w:p>
        </w:tc>
        <w:tc>
          <w:tcPr>
            <w:tcW w:w="42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186</w:t>
            </w:r>
          </w:p>
        </w:tc>
        <w:tc>
          <w:tcPr>
            <w:tcW w:w="4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000000"/>
                <w:kern w:val="0"/>
                <w:sz w:val="19"/>
                <w:szCs w:val="19"/>
              </w:rPr>
            </w:pPr>
            <w:r>
              <w:rPr>
                <w:rFonts w:hint="default" w:ascii="Times New Roman" w:hAnsi="Times New Roman" w:eastAsia="仿宋_GB2312" w:cs="Times New Roman"/>
                <w:color w:val="000000"/>
                <w:kern w:val="0"/>
                <w:sz w:val="19"/>
                <w:szCs w:val="19"/>
              </w:rPr>
              <w:t>186</w:t>
            </w:r>
          </w:p>
        </w:tc>
      </w:tr>
    </w:tbl>
    <w:p>
      <w:pPr>
        <w:ind w:firstLine="0" w:firstLineChars="0"/>
        <w:rPr>
          <w:rFonts w:hint="default" w:ascii="Times New Roman" w:hAnsi="Times New Roman" w:cs="Times New Roman"/>
        </w:rPr>
      </w:pPr>
      <w:bookmarkStart w:id="2" w:name="_GoBack"/>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金湖县2020年度公示地价体系建设成果自公布之日起执行。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特此通告。</w:t>
      </w:r>
    </w:p>
    <w:p>
      <w:pPr>
        <w:ind w:firstLine="0" w:firstLineChars="0"/>
        <w:rPr>
          <w:rFonts w:hint="default" w:ascii="Times New Roman" w:hAnsi="Times New Roman" w:cs="Times New Roman"/>
          <w:sz w:val="32"/>
          <w:szCs w:val="32"/>
        </w:rPr>
      </w:pPr>
    </w:p>
    <w:p>
      <w:pPr>
        <w:ind w:right="640"/>
        <w:jc w:val="right"/>
        <w:rPr>
          <w:rFonts w:hint="default" w:ascii="Times New Roman" w:hAnsi="Times New Roman" w:cs="Times New Roman"/>
          <w:sz w:val="32"/>
          <w:szCs w:val="32"/>
        </w:rPr>
      </w:pPr>
      <w:r>
        <w:rPr>
          <w:rFonts w:hint="default" w:ascii="Times New Roman" w:hAnsi="Times New Roman" w:cs="Times New Roman"/>
          <w:sz w:val="32"/>
          <w:szCs w:val="32"/>
        </w:rPr>
        <w:t>金湖县人民政府</w:t>
      </w:r>
    </w:p>
    <w:p>
      <w:pPr>
        <w:wordWrap w:val="0"/>
        <w:ind w:left="1996" w:right="480" w:firstLine="0" w:firstLineChars="0"/>
        <w:jc w:val="right"/>
        <w:rPr>
          <w:rFonts w:hint="default" w:ascii="Times New Roman" w:hAnsi="Times New Roman" w:cs="Times New Roman"/>
          <w:sz w:val="32"/>
          <w:szCs w:val="32"/>
        </w:rPr>
      </w:pPr>
      <w:r>
        <w:rPr>
          <w:rFonts w:hint="default" w:ascii="Times New Roman" w:hAnsi="Times New Roman" w:cs="Times New Roman"/>
          <w:sz w:val="32"/>
          <w:szCs w:val="32"/>
        </w:rPr>
        <w:t>2022年3月18日</w:t>
      </w:r>
    </w:p>
    <w:p>
      <w:pPr>
        <w:pStyle w:val="25"/>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（此件公开发布）</w:t>
      </w:r>
    </w:p>
    <w:p>
      <w:pPr>
        <w:ind w:right="640"/>
        <w:jc w:val="right"/>
        <w:rPr>
          <w:rFonts w:hint="default" w:ascii="Times New Roman" w:hAnsi="Times New Roman" w:cs="Times New Roman"/>
          <w:sz w:val="32"/>
          <w:szCs w:val="32"/>
        </w:rPr>
      </w:pPr>
    </w:p>
    <w:p>
      <w:pPr>
        <w:ind w:right="640"/>
        <w:jc w:val="right"/>
        <w:rPr>
          <w:rFonts w:hint="default" w:ascii="Times New Roman" w:hAnsi="Times New Roman" w:cs="Times New Roman"/>
          <w:sz w:val="32"/>
          <w:szCs w:val="32"/>
        </w:rPr>
      </w:pPr>
    </w:p>
    <w:p>
      <w:pPr>
        <w:ind w:right="640"/>
        <w:jc w:val="right"/>
        <w:rPr>
          <w:rFonts w:hint="default" w:ascii="Times New Roman" w:hAnsi="Times New Roman" w:cs="Times New Roman"/>
          <w:sz w:val="32"/>
          <w:szCs w:val="32"/>
        </w:rPr>
      </w:pPr>
    </w:p>
    <w:p>
      <w:pPr>
        <w:ind w:right="640"/>
        <w:jc w:val="right"/>
        <w:rPr>
          <w:rFonts w:hint="default" w:ascii="Times New Roman" w:hAnsi="Times New Roman" w:cs="Times New Roman"/>
          <w:sz w:val="32"/>
          <w:szCs w:val="32"/>
        </w:rPr>
      </w:pPr>
    </w:p>
    <w:p>
      <w:pPr>
        <w:widowControl/>
        <w:tabs>
          <w:tab w:val="left" w:pos="8100"/>
          <w:tab w:val="left" w:pos="8280"/>
        </w:tabs>
        <w:spacing w:before="100" w:beforeAutospacing="1" w:after="100" w:afterAutospacing="1"/>
        <w:ind w:firstLine="0" w:firstLineChars="0"/>
        <w:rPr>
          <w:rFonts w:hint="default" w:ascii="Times New Roman" w:hAnsi="Times New Roman" w:eastAsia="仿宋_GB2312" w:cs="Times New Roman"/>
          <w:lang w:val="en-US" w:eastAsia="zh-CN"/>
        </w:rPr>
      </w:pPr>
      <w:r>
        <w:rPr>
          <w:rFonts w:hint="default" w:ascii="Times New Roman" w:hAnsi="Times New Roman" w:cs="Times New Roman"/>
        </w:rPr>
        <w:pict>
          <v:line id="_x0000_s1026" o:spid="_x0000_s1026" o:spt="20" style="position:absolute;left:0pt;margin-left:2.75pt;margin-top:17.15pt;height:0pt;width:436.55pt;z-index:251659264;mso-width-relative:page;mso-height-relative:page;" filled="f" stroked="t" coordsize="21600,21600">
            <v:path arrowok="t"/>
            <v:fill on="f" focussize="0,0"/>
            <v:stroke weight="1.25pt" color="#000000"/>
            <v:imagedata o:title=""/>
            <o:lock v:ext="edit" aspectratio="f"/>
          </v:line>
        </w:pict>
      </w:r>
      <w:r>
        <w:rPr>
          <w:rFonts w:hint="default" w:ascii="Times New Roman" w:hAnsi="Times New Roman" w:cs="Times New Roman"/>
        </w:rPr>
        <w:pict>
          <v:line id="_x0000_s1027" o:spid="_x0000_s1027" o:spt="20" style="position:absolute;left:0pt;margin-left:2pt;margin-top:42.85pt;height:0pt;width:436.55pt;z-index:251659264;mso-width-relative:page;mso-height-relative:page;" filled="f" stroked="t" coordsize="21600,21600">
            <v:path arrowok="t"/>
            <v:fill on="f" focussize="0,0"/>
            <v:stroke weight="1.25pt" color="#000000"/>
            <v:imagedata o:title=""/>
            <o:lock v:ext="edit" aspectratio="f"/>
          </v:line>
        </w:pict>
      </w:r>
      <w:r>
        <w:rPr>
          <w:rFonts w:hint="default" w:ascii="Times New Roman" w:hAnsi="Times New Roman" w:cs="Times New Roman"/>
          <w:szCs w:val="28"/>
        </w:rPr>
        <w:t xml:space="preserve"> </w:t>
      </w:r>
      <w:r>
        <w:rPr>
          <w:rFonts w:hint="default" w:ascii="Times New Roman" w:hAnsi="Times New Roman" w:cs="Times New Roman"/>
          <w:szCs w:val="28"/>
          <w:lang w:val="en-US" w:eastAsia="zh-CN"/>
        </w:rPr>
        <w:t xml:space="preserve"> </w:t>
      </w:r>
      <w:r>
        <w:rPr>
          <w:rFonts w:hint="default" w:ascii="Times New Roman" w:hAnsi="Times New Roman" w:cs="Times New Roman"/>
          <w:szCs w:val="28"/>
        </w:rPr>
        <w:t>金湖县人民政府办公室                   2022年3月18日印发</w:t>
      </w:r>
      <w:r>
        <w:rPr>
          <w:rFonts w:hint="default" w:ascii="Times New Roman" w:hAnsi="Times New Roman" w:cs="Times New Roman"/>
          <w:szCs w:val="28"/>
          <w:lang w:val="en-US" w:eastAsia="zh-CN"/>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87" w:bottom="1984" w:left="1588" w:header="851" w:footer="1417"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pPr>
    <w:r>
      <w:rPr>
        <w:sz w:val="1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firstLine="0" w:firstLineChars="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1B1"/>
    <w:rsid w:val="000127AD"/>
    <w:rsid w:val="0003619F"/>
    <w:rsid w:val="000739DB"/>
    <w:rsid w:val="00086967"/>
    <w:rsid w:val="000C5099"/>
    <w:rsid w:val="00153E94"/>
    <w:rsid w:val="001578D7"/>
    <w:rsid w:val="001D3958"/>
    <w:rsid w:val="001D4B7F"/>
    <w:rsid w:val="002763EE"/>
    <w:rsid w:val="002B1ADC"/>
    <w:rsid w:val="002C098B"/>
    <w:rsid w:val="00375986"/>
    <w:rsid w:val="003B58ED"/>
    <w:rsid w:val="003D7F98"/>
    <w:rsid w:val="003E5C17"/>
    <w:rsid w:val="004079F5"/>
    <w:rsid w:val="0043566E"/>
    <w:rsid w:val="00473BA0"/>
    <w:rsid w:val="00482FF9"/>
    <w:rsid w:val="0049186B"/>
    <w:rsid w:val="004924A3"/>
    <w:rsid w:val="004E3250"/>
    <w:rsid w:val="00533A63"/>
    <w:rsid w:val="00545489"/>
    <w:rsid w:val="0055312C"/>
    <w:rsid w:val="005E38DC"/>
    <w:rsid w:val="005F01B1"/>
    <w:rsid w:val="00675C2A"/>
    <w:rsid w:val="006A1291"/>
    <w:rsid w:val="006D66EE"/>
    <w:rsid w:val="006E2079"/>
    <w:rsid w:val="007000E7"/>
    <w:rsid w:val="00705FA7"/>
    <w:rsid w:val="00711C7E"/>
    <w:rsid w:val="00764C70"/>
    <w:rsid w:val="007A6D58"/>
    <w:rsid w:val="007C2F89"/>
    <w:rsid w:val="007E403D"/>
    <w:rsid w:val="00823D8F"/>
    <w:rsid w:val="00876610"/>
    <w:rsid w:val="009008BC"/>
    <w:rsid w:val="009109CC"/>
    <w:rsid w:val="00921417"/>
    <w:rsid w:val="00960A42"/>
    <w:rsid w:val="009913B6"/>
    <w:rsid w:val="00995354"/>
    <w:rsid w:val="009B6A16"/>
    <w:rsid w:val="00A46E4B"/>
    <w:rsid w:val="00A54DEC"/>
    <w:rsid w:val="00A8256A"/>
    <w:rsid w:val="00B32F50"/>
    <w:rsid w:val="00B629C6"/>
    <w:rsid w:val="00BA3C84"/>
    <w:rsid w:val="00BE17BC"/>
    <w:rsid w:val="00C129D8"/>
    <w:rsid w:val="00C70769"/>
    <w:rsid w:val="00C81123"/>
    <w:rsid w:val="00C90C11"/>
    <w:rsid w:val="00C96CD3"/>
    <w:rsid w:val="00C96D78"/>
    <w:rsid w:val="00CD1FCF"/>
    <w:rsid w:val="00D2648C"/>
    <w:rsid w:val="00D90A75"/>
    <w:rsid w:val="00DD01CA"/>
    <w:rsid w:val="00DF721D"/>
    <w:rsid w:val="00E0752C"/>
    <w:rsid w:val="00E07928"/>
    <w:rsid w:val="00E31A1E"/>
    <w:rsid w:val="00EB566F"/>
    <w:rsid w:val="00F458EC"/>
    <w:rsid w:val="00FE082B"/>
    <w:rsid w:val="10060D1E"/>
    <w:rsid w:val="12175272"/>
    <w:rsid w:val="123F4B9B"/>
    <w:rsid w:val="16185542"/>
    <w:rsid w:val="1C5F096E"/>
    <w:rsid w:val="1C9D7D72"/>
    <w:rsid w:val="1F4D13EF"/>
    <w:rsid w:val="28BD1643"/>
    <w:rsid w:val="292F73D6"/>
    <w:rsid w:val="346B473F"/>
    <w:rsid w:val="39C27798"/>
    <w:rsid w:val="3D373B36"/>
    <w:rsid w:val="410F2E27"/>
    <w:rsid w:val="4B9E3FE9"/>
    <w:rsid w:val="4C552321"/>
    <w:rsid w:val="50F87728"/>
    <w:rsid w:val="5389500E"/>
    <w:rsid w:val="54432492"/>
    <w:rsid w:val="55C238EF"/>
    <w:rsid w:val="78605D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imes New Roman"/>
      <w:kern w:val="2"/>
      <w:sz w:val="28"/>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snapToGrid w:val="0"/>
      <w:spacing w:after="120" w:line="480" w:lineRule="exact"/>
      <w:ind w:firstLine="200"/>
      <w:jc w:val="left"/>
    </w:pPr>
    <w:rPr>
      <w:szCs w:val="22"/>
    </w:rPr>
  </w:style>
  <w:style w:type="paragraph" w:styleId="3">
    <w:name w:val="Plain Text"/>
    <w:basedOn w:val="1"/>
    <w:link w:val="14"/>
    <w:qFormat/>
    <w:uiPriority w:val="99"/>
    <w:rPr>
      <w:rFonts w:ascii="宋体" w:hAnsi="Courier New" w:cs="Courier New"/>
      <w:szCs w:val="21"/>
    </w:rPr>
  </w:style>
  <w:style w:type="paragraph" w:styleId="4">
    <w:name w:val="Date"/>
    <w:basedOn w:val="1"/>
    <w:next w:val="1"/>
    <w:link w:val="24"/>
    <w:semiHidden/>
    <w:unhideWhenUsed/>
    <w:qFormat/>
    <w:uiPriority w:val="99"/>
    <w:pPr>
      <w:ind w:left="100" w:leftChars="2500"/>
    </w:pPr>
  </w:style>
  <w:style w:type="paragraph" w:styleId="5">
    <w:name w:val="Balloon Text"/>
    <w:basedOn w:val="1"/>
    <w:link w:val="15"/>
    <w:semiHidden/>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8"/>
    <w:qFormat/>
    <w:uiPriority w:val="99"/>
    <w:pPr>
      <w:snapToGrid w:val="0"/>
      <w:spacing w:line="360" w:lineRule="auto"/>
      <w:jc w:val="left"/>
      <w:outlineLvl w:val="0"/>
    </w:pPr>
    <w:rPr>
      <w:b/>
      <w:bCs/>
      <w:sz w:val="32"/>
      <w:szCs w:val="32"/>
    </w:rPr>
  </w:style>
  <w:style w:type="character" w:styleId="11">
    <w:name w:val="Strong"/>
    <w:basedOn w:val="10"/>
    <w:qFormat/>
    <w:uiPriority w:val="99"/>
    <w:rPr>
      <w:rFonts w:cs="Times New Roman"/>
      <w:b/>
    </w:rPr>
  </w:style>
  <w:style w:type="character" w:styleId="12">
    <w:name w:val="page number"/>
    <w:basedOn w:val="10"/>
    <w:qFormat/>
    <w:uiPriority w:val="99"/>
    <w:rPr>
      <w:rFonts w:cs="Times New Roman"/>
    </w:rPr>
  </w:style>
  <w:style w:type="character" w:customStyle="1" w:styleId="13">
    <w:name w:val="正文文本 Char"/>
    <w:basedOn w:val="10"/>
    <w:link w:val="2"/>
    <w:qFormat/>
    <w:locked/>
    <w:uiPriority w:val="99"/>
    <w:rPr>
      <w:rFonts w:ascii="Times New Roman" w:hAnsi="Times New Roman" w:eastAsia="仿宋_GB2312" w:cs="Times New Roman"/>
      <w:sz w:val="28"/>
    </w:rPr>
  </w:style>
  <w:style w:type="character" w:customStyle="1" w:styleId="14">
    <w:name w:val="纯文本 Char"/>
    <w:basedOn w:val="10"/>
    <w:link w:val="3"/>
    <w:semiHidden/>
    <w:qFormat/>
    <w:uiPriority w:val="99"/>
    <w:rPr>
      <w:rFonts w:ascii="宋体" w:hAnsi="Courier New" w:cs="Courier New"/>
      <w:szCs w:val="21"/>
    </w:rPr>
  </w:style>
  <w:style w:type="character" w:customStyle="1" w:styleId="15">
    <w:name w:val="批注框文本 Char"/>
    <w:basedOn w:val="10"/>
    <w:link w:val="5"/>
    <w:semiHidden/>
    <w:qFormat/>
    <w:locked/>
    <w:uiPriority w:val="99"/>
    <w:rPr>
      <w:rFonts w:ascii="Times New Roman" w:hAnsi="Times New Roman" w:eastAsia="宋体" w:cs="Times New Roman"/>
      <w:sz w:val="18"/>
      <w:szCs w:val="18"/>
    </w:rPr>
  </w:style>
  <w:style w:type="character" w:customStyle="1" w:styleId="16">
    <w:name w:val="页脚 Char"/>
    <w:basedOn w:val="10"/>
    <w:link w:val="6"/>
    <w:qFormat/>
    <w:locked/>
    <w:uiPriority w:val="99"/>
    <w:rPr>
      <w:rFonts w:ascii="Times New Roman" w:hAnsi="Times New Roman" w:eastAsia="宋体" w:cs="Times New Roman"/>
      <w:sz w:val="18"/>
      <w:szCs w:val="18"/>
    </w:rPr>
  </w:style>
  <w:style w:type="character" w:customStyle="1" w:styleId="17">
    <w:name w:val="页眉 Char"/>
    <w:basedOn w:val="10"/>
    <w:link w:val="7"/>
    <w:qFormat/>
    <w:locked/>
    <w:uiPriority w:val="99"/>
    <w:rPr>
      <w:rFonts w:ascii="Times New Roman" w:hAnsi="Times New Roman" w:eastAsia="宋体" w:cs="Times New Roman"/>
      <w:sz w:val="18"/>
      <w:szCs w:val="18"/>
    </w:rPr>
  </w:style>
  <w:style w:type="character" w:customStyle="1" w:styleId="18">
    <w:name w:val="标题 Char"/>
    <w:basedOn w:val="10"/>
    <w:link w:val="8"/>
    <w:qFormat/>
    <w:locked/>
    <w:uiPriority w:val="99"/>
    <w:rPr>
      <w:rFonts w:ascii="Times New Roman" w:hAnsi="Times New Roman" w:eastAsia="仿宋_GB2312" w:cs="Times New Roman"/>
      <w:b/>
      <w:bCs/>
      <w:sz w:val="32"/>
      <w:szCs w:val="32"/>
    </w:rPr>
  </w:style>
  <w:style w:type="paragraph" w:customStyle="1" w:styleId="19">
    <w:name w:val="表格标题"/>
    <w:basedOn w:val="1"/>
    <w:qFormat/>
    <w:uiPriority w:val="99"/>
    <w:pPr>
      <w:snapToGrid w:val="0"/>
      <w:spacing w:beforeLines="50" w:afterLines="50" w:line="360" w:lineRule="auto"/>
      <w:ind w:firstLine="200"/>
      <w:jc w:val="center"/>
    </w:pPr>
    <w:rPr>
      <w:rFonts w:eastAsia="黑体"/>
      <w:sz w:val="24"/>
      <w:szCs w:val="22"/>
    </w:rPr>
  </w:style>
  <w:style w:type="character" w:customStyle="1" w:styleId="20">
    <w:name w:val="font51"/>
    <w:basedOn w:val="10"/>
    <w:qFormat/>
    <w:uiPriority w:val="99"/>
    <w:rPr>
      <w:rFonts w:ascii="Times New Roman" w:hAnsi="Times New Roman" w:cs="Times New Roman"/>
      <w:color w:val="000000"/>
      <w:sz w:val="20"/>
      <w:szCs w:val="20"/>
      <w:u w:val="none"/>
    </w:rPr>
  </w:style>
  <w:style w:type="character" w:customStyle="1" w:styleId="21">
    <w:name w:val="font61"/>
    <w:basedOn w:val="10"/>
    <w:qFormat/>
    <w:uiPriority w:val="99"/>
    <w:rPr>
      <w:rFonts w:ascii="宋体" w:hAnsi="宋体" w:eastAsia="宋体" w:cs="宋体"/>
      <w:color w:val="000000"/>
      <w:sz w:val="20"/>
      <w:szCs w:val="20"/>
      <w:u w:val="none"/>
    </w:rPr>
  </w:style>
  <w:style w:type="character" w:customStyle="1" w:styleId="22">
    <w:name w:val="font11"/>
    <w:basedOn w:val="10"/>
    <w:qFormat/>
    <w:uiPriority w:val="99"/>
    <w:rPr>
      <w:rFonts w:ascii="Times New Roman" w:hAnsi="Times New Roman" w:cs="Times New Roman"/>
      <w:color w:val="000000"/>
      <w:sz w:val="20"/>
      <w:szCs w:val="20"/>
      <w:u w:val="none"/>
    </w:rPr>
  </w:style>
  <w:style w:type="character" w:customStyle="1" w:styleId="23">
    <w:name w:val="font31"/>
    <w:basedOn w:val="10"/>
    <w:qFormat/>
    <w:uiPriority w:val="99"/>
    <w:rPr>
      <w:rFonts w:ascii="Times New Roman" w:hAnsi="Times New Roman" w:cs="Times New Roman"/>
      <w:color w:val="000000"/>
      <w:sz w:val="20"/>
      <w:szCs w:val="20"/>
      <w:u w:val="none"/>
    </w:rPr>
  </w:style>
  <w:style w:type="character" w:customStyle="1" w:styleId="24">
    <w:name w:val="日期 Char"/>
    <w:basedOn w:val="10"/>
    <w:link w:val="4"/>
    <w:semiHidden/>
    <w:qFormat/>
    <w:uiPriority w:val="99"/>
    <w:rPr>
      <w:rFonts w:eastAsia="仿宋_GB2312"/>
      <w:kern w:val="2"/>
      <w:sz w:val="28"/>
      <w:szCs w:val="24"/>
    </w:rPr>
  </w:style>
  <w:style w:type="paragraph" w:customStyle="1" w:styleId="25">
    <w:name w:val="p0"/>
    <w:basedOn w:val="1"/>
    <w:qFormat/>
    <w:uiPriority w:val="99"/>
    <w:pPr>
      <w:widowControl/>
      <w:spacing w:line="240" w:lineRule="auto"/>
      <w:ind w:firstLine="0" w:firstLineChars="0"/>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902</Words>
  <Characters>5145</Characters>
  <Lines>42</Lines>
  <Paragraphs>12</Paragraphs>
  <TotalTime>277</TotalTime>
  <ScaleCrop>false</ScaleCrop>
  <LinksUpToDate>false</LinksUpToDate>
  <CharactersWithSpaces>6035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2016-03-15T01:21:00Z</dcterms:created>
  <dc:creator>lenovo</dc:creator>
  <cp:lastModifiedBy>123</cp:lastModifiedBy>
  <cp:lastPrinted>2022-03-18T06:58:00Z</cp:lastPrinted>
  <dcterms:modified xsi:type="dcterms:W3CDTF">2022-03-18T09:04:20Z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C6C4F201533047D49C0C35D703BAA3D9</vt:lpwstr>
  </property>
</Properties>
</file>