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topLinePunct w:val="0"/>
        <w:autoSpaceDE/>
        <w:autoSpaceDN/>
        <w:bidi w:val="0"/>
        <w:snapToGrid/>
        <w:spacing w:beforeLines="0" w:afterLines="0" w:line="560" w:lineRule="exact"/>
        <w:jc w:val="center"/>
        <w:rPr>
          <w:rFonts w:hint="default" w:ascii="Times New Roman" w:hAnsi="Times New Roman" w:eastAsia="仿宋_GB2312" w:cs="Times New Roman"/>
          <w:sz w:val="32"/>
          <w:szCs w:val="24"/>
        </w:rPr>
      </w:pPr>
    </w:p>
    <w:p>
      <w:pPr>
        <w:keepNext w:val="0"/>
        <w:keepLines w:val="0"/>
        <w:pageBreakBefore w:val="0"/>
        <w:widowControl w:val="0"/>
        <w:kinsoku/>
        <w:wordWrap/>
        <w:topLinePunct w:val="0"/>
        <w:autoSpaceDE/>
        <w:autoSpaceDN/>
        <w:bidi w:val="0"/>
        <w:snapToGrid/>
        <w:spacing w:beforeLines="0" w:afterLines="0" w:line="560" w:lineRule="exact"/>
        <w:jc w:val="center"/>
        <w:rPr>
          <w:rFonts w:hint="default" w:ascii="Times New Roman" w:hAnsi="Times New Roman" w:eastAsia="仿宋_GB2312" w:cs="Times New Roman"/>
          <w:sz w:val="32"/>
          <w:szCs w:val="24"/>
        </w:rPr>
      </w:pPr>
    </w:p>
    <w:p>
      <w:pPr>
        <w:keepNext w:val="0"/>
        <w:keepLines w:val="0"/>
        <w:pageBreakBefore w:val="0"/>
        <w:widowControl w:val="0"/>
        <w:kinsoku/>
        <w:wordWrap/>
        <w:topLinePunct w:val="0"/>
        <w:autoSpaceDE/>
        <w:autoSpaceDN/>
        <w:bidi w:val="0"/>
        <w:snapToGrid/>
        <w:spacing w:beforeLines="0" w:afterLines="0" w:line="560" w:lineRule="exact"/>
        <w:jc w:val="center"/>
        <w:rPr>
          <w:rFonts w:hint="default" w:ascii="Times New Roman" w:hAnsi="Times New Roman" w:eastAsia="仿宋_GB2312" w:cs="Times New Roman"/>
          <w:sz w:val="32"/>
          <w:szCs w:val="24"/>
        </w:rPr>
      </w:pPr>
    </w:p>
    <w:p>
      <w:pPr>
        <w:keepNext w:val="0"/>
        <w:keepLines w:val="0"/>
        <w:pageBreakBefore w:val="0"/>
        <w:widowControl w:val="0"/>
        <w:kinsoku/>
        <w:wordWrap/>
        <w:topLinePunct w:val="0"/>
        <w:autoSpaceDE/>
        <w:autoSpaceDN/>
        <w:bidi w:val="0"/>
        <w:snapToGrid/>
        <w:spacing w:beforeLines="0" w:afterLines="0" w:line="560" w:lineRule="exact"/>
        <w:jc w:val="center"/>
        <w:rPr>
          <w:rFonts w:hint="default" w:ascii="Times New Roman" w:hAnsi="Times New Roman" w:eastAsia="仿宋_GB2312" w:cs="Times New Roman"/>
          <w:sz w:val="32"/>
          <w:szCs w:val="24"/>
        </w:rPr>
      </w:pP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仿宋_GB2312" w:cs="Times New Roman"/>
          <w:sz w:val="32"/>
          <w:szCs w:val="24"/>
        </w:rPr>
      </w:pPr>
      <w:r>
        <w:rPr>
          <w:rFonts w:hint="default" w:ascii="Times New Roman" w:hAnsi="Times New Roman" w:eastAsia="仿宋_GB2312" w:cs="Times New Roman"/>
          <w:sz w:val="32"/>
          <w:szCs w:val="24"/>
        </w:rPr>
        <w:t>金政发〔2022〕</w:t>
      </w:r>
      <w:r>
        <w:rPr>
          <w:rFonts w:hint="eastAsia" w:ascii="Times New Roman" w:hAnsi="Times New Roman" w:eastAsia="仿宋_GB2312" w:cs="Times New Roman"/>
          <w:sz w:val="32"/>
          <w:szCs w:val="24"/>
          <w:lang w:val="en-US" w:eastAsia="zh-CN"/>
        </w:rPr>
        <w:t>37</w:t>
      </w:r>
      <w:r>
        <w:rPr>
          <w:rFonts w:hint="default" w:ascii="Times New Roman" w:hAnsi="Times New Roman" w:eastAsia="仿宋_GB2312" w:cs="Times New Roman"/>
          <w:sz w:val="32"/>
          <w:szCs w:val="24"/>
        </w:rPr>
        <w:t>号</w:t>
      </w:r>
    </w:p>
    <w:p>
      <w:pPr>
        <w:keepNext w:val="0"/>
        <w:keepLines w:val="0"/>
        <w:pageBreakBefore w:val="0"/>
        <w:widowControl w:val="0"/>
        <w:kinsoku/>
        <w:wordWrap/>
        <w:topLinePunct w:val="0"/>
        <w:autoSpaceDE/>
        <w:autoSpaceDN/>
        <w:bidi w:val="0"/>
        <w:snapToGrid/>
        <w:spacing w:beforeLines="0" w:afterLines="0" w:line="560" w:lineRule="exact"/>
        <w:jc w:val="center"/>
        <w:rPr>
          <w:rFonts w:hint="default" w:ascii="Times New Roman" w:hAnsi="Times New Roman" w:eastAsia="方正小标宋_GBK" w:cs="Times New Roman"/>
          <w:sz w:val="44"/>
          <w:szCs w:val="24"/>
          <w:lang w:eastAsia="zh-CN"/>
        </w:rPr>
      </w:pPr>
    </w:p>
    <w:p>
      <w:pPr>
        <w:pStyle w:val="2"/>
        <w:keepNext w:val="0"/>
        <w:keepLines w:val="0"/>
        <w:pageBreakBefore w:val="0"/>
        <w:widowControl w:val="0"/>
        <w:kinsoku/>
        <w:wordWrap/>
        <w:topLinePunct w:val="0"/>
        <w:autoSpaceDE/>
        <w:autoSpaceDN/>
        <w:bidi w:val="0"/>
        <w:snapToGrid/>
        <w:spacing w:beforeLines="0" w:afterLines="0" w:line="560" w:lineRule="exact"/>
        <w:rPr>
          <w:rFonts w:hint="default" w:ascii="Times New Roman" w:hAnsi="Times New Roman" w:cs="Times New Roman"/>
          <w:sz w:val="24"/>
          <w:szCs w:val="24"/>
          <w:lang w:eastAsia="zh-CN"/>
        </w:rPr>
      </w:pP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lang w:eastAsia="zh-CN"/>
        </w:rPr>
        <w:t>县</w:t>
      </w:r>
      <w:r>
        <w:rPr>
          <w:rFonts w:hint="default" w:ascii="Times New Roman" w:hAnsi="Times New Roman" w:eastAsia="方正小标宋_GBK" w:cs="Times New Roman"/>
          <w:sz w:val="44"/>
          <w:szCs w:val="44"/>
        </w:rPr>
        <w:t>政府</w:t>
      </w:r>
      <w:r>
        <w:rPr>
          <w:rFonts w:hint="default" w:ascii="Times New Roman" w:hAnsi="Times New Roman" w:eastAsia="方正小标宋_GBK" w:cs="Times New Roman"/>
          <w:sz w:val="44"/>
          <w:szCs w:val="44"/>
          <w:lang w:eastAsia="zh-CN"/>
        </w:rPr>
        <w:t>印发</w:t>
      </w:r>
      <w:r>
        <w:rPr>
          <w:rFonts w:hint="default" w:ascii="Times New Roman" w:hAnsi="Times New Roman" w:eastAsia="方正小标宋_GBK" w:cs="Times New Roman"/>
          <w:sz w:val="44"/>
          <w:szCs w:val="44"/>
        </w:rPr>
        <w:t>关于</w:t>
      </w:r>
      <w:r>
        <w:rPr>
          <w:rFonts w:hint="default" w:ascii="Times New Roman" w:hAnsi="Times New Roman" w:eastAsia="方正小标宋_GBK" w:cs="Times New Roman"/>
          <w:sz w:val="44"/>
          <w:szCs w:val="44"/>
          <w:lang w:eastAsia="zh-CN"/>
        </w:rPr>
        <w:t>进一步帮助</w:t>
      </w: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lang w:eastAsia="zh-CN"/>
        </w:rPr>
        <w:t>市场主体纾困解难着力稳定经济增长</w:t>
      </w: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lang w:eastAsia="zh-CN"/>
        </w:rPr>
        <w:t>具体实施细则</w:t>
      </w:r>
      <w:r>
        <w:rPr>
          <w:rFonts w:hint="default" w:ascii="Times New Roman" w:hAnsi="Times New Roman" w:eastAsia="方正小标宋_GBK" w:cs="Times New Roman"/>
          <w:sz w:val="44"/>
          <w:szCs w:val="44"/>
        </w:rPr>
        <w:t>的通知</w:t>
      </w: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仿宋_GB2312" w:cs="Times New Roman"/>
          <w:sz w:val="32"/>
          <w:szCs w:val="32"/>
        </w:rPr>
      </w:pPr>
    </w:p>
    <w:p>
      <w:pPr>
        <w:keepNext w:val="0"/>
        <w:keepLines w:val="0"/>
        <w:pageBreakBefore w:val="0"/>
        <w:widowControl w:val="0"/>
        <w:kinsoku/>
        <w:wordWrap/>
        <w:topLinePunct w:val="0"/>
        <w:autoSpaceDE/>
        <w:autoSpaceDN/>
        <w:bidi w:val="0"/>
        <w:snapToGrid/>
        <w:spacing w:beforeLines="0" w:afterLines="0" w:line="560" w:lineRule="exact"/>
        <w:ind w:firstLine="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各镇人民政府、</w:t>
      </w:r>
      <w:r>
        <w:rPr>
          <w:rFonts w:hint="default" w:ascii="Times New Roman" w:hAnsi="Times New Roman" w:eastAsia="仿宋_GB2312" w:cs="Times New Roman"/>
          <w:sz w:val="32"/>
          <w:szCs w:val="32"/>
          <w:lang w:eastAsia="zh-CN"/>
        </w:rPr>
        <w:t>各</w:t>
      </w:r>
      <w:r>
        <w:rPr>
          <w:rFonts w:hint="default" w:ascii="Times New Roman" w:hAnsi="Times New Roman" w:eastAsia="仿宋_GB2312" w:cs="Times New Roman"/>
          <w:sz w:val="32"/>
          <w:szCs w:val="32"/>
        </w:rPr>
        <w:t>街道办事处，县各委办局，县各直属单位：</w:t>
      </w:r>
    </w:p>
    <w:p>
      <w:pPr>
        <w:keepNext w:val="0"/>
        <w:keepLines w:val="0"/>
        <w:pageBreakBefore w:val="0"/>
        <w:widowControl w:val="0"/>
        <w:kinsoku/>
        <w:wordWrap/>
        <w:topLinePunct w:val="0"/>
        <w:autoSpaceDE/>
        <w:autoSpaceDN/>
        <w:bidi w:val="0"/>
        <w:snapToGrid/>
        <w:spacing w:beforeLines="0" w:afterLines="0" w:line="560" w:lineRule="exact"/>
        <w:ind w:firstLine="646"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现将《关于进一步帮助市场主体纾困解难着力稳定经济增长具体实施细则》印发</w:t>
      </w:r>
      <w:r>
        <w:rPr>
          <w:rFonts w:hint="default" w:ascii="Times New Roman" w:hAnsi="Times New Roman" w:eastAsia="仿宋_GB2312" w:cs="Times New Roman"/>
          <w:sz w:val="32"/>
          <w:szCs w:val="32"/>
          <w:lang w:eastAsia="zh-CN"/>
        </w:rPr>
        <w:t>给</w:t>
      </w:r>
      <w:r>
        <w:rPr>
          <w:rFonts w:hint="default" w:ascii="Times New Roman" w:hAnsi="Times New Roman" w:eastAsia="仿宋_GB2312" w:cs="Times New Roman"/>
          <w:sz w:val="32"/>
          <w:szCs w:val="32"/>
        </w:rPr>
        <w:t>你们，请认真贯彻落实。</w:t>
      </w:r>
    </w:p>
    <w:p>
      <w:pPr>
        <w:pStyle w:val="2"/>
        <w:keepNext w:val="0"/>
        <w:keepLines w:val="0"/>
        <w:pageBreakBefore w:val="0"/>
        <w:widowControl w:val="0"/>
        <w:tabs>
          <w:tab w:val="left" w:pos="2020"/>
          <w:tab w:val="center" w:pos="4535"/>
        </w:tabs>
        <w:kinsoku/>
        <w:wordWrap/>
        <w:topLinePunct w:val="0"/>
        <w:autoSpaceDE/>
        <w:autoSpaceDN/>
        <w:bidi w:val="0"/>
        <w:snapToGrid/>
        <w:spacing w:beforeLines="0" w:afterLines="0" w:line="560" w:lineRule="exact"/>
        <w:rPr>
          <w:rFonts w:hint="default" w:ascii="Times New Roman" w:hAnsi="Times New Roman" w:cs="Times New Roman"/>
          <w:sz w:val="24"/>
          <w:szCs w:val="24"/>
        </w:rPr>
      </w:pPr>
    </w:p>
    <w:p>
      <w:pPr>
        <w:pStyle w:val="2"/>
        <w:keepNext w:val="0"/>
        <w:keepLines w:val="0"/>
        <w:pageBreakBefore w:val="0"/>
        <w:widowControl w:val="0"/>
        <w:tabs>
          <w:tab w:val="left" w:pos="2020"/>
          <w:tab w:val="center" w:pos="4535"/>
        </w:tabs>
        <w:kinsoku/>
        <w:wordWrap/>
        <w:topLinePunct w:val="0"/>
        <w:autoSpaceDE/>
        <w:autoSpaceDN/>
        <w:bidi w:val="0"/>
        <w:snapToGrid/>
        <w:spacing w:beforeLines="0" w:afterLines="0" w:line="560" w:lineRule="exact"/>
        <w:rPr>
          <w:rFonts w:hint="default" w:ascii="Times New Roman" w:hAnsi="Times New Roman" w:cs="Times New Roman"/>
          <w:sz w:val="24"/>
          <w:szCs w:val="24"/>
        </w:rPr>
      </w:pP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 xml:space="preserve">                         </w:t>
      </w:r>
      <w:r>
        <w:rPr>
          <w:rFonts w:hint="default" w:ascii="Times New Roman" w:hAnsi="Times New Roman" w:eastAsia="仿宋_GB2312" w:cs="Times New Roman"/>
          <w:sz w:val="32"/>
          <w:szCs w:val="32"/>
        </w:rPr>
        <w:t>金湖县人民政府</w:t>
      </w: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仿宋_GB2312" w:cs="Times New Roman"/>
          <w:sz w:val="32"/>
          <w:szCs w:val="24"/>
        </w:rPr>
      </w:pPr>
      <w:r>
        <w:rPr>
          <w:rFonts w:hint="default" w:ascii="Times New Roman" w:hAnsi="Times New Roman" w:eastAsia="仿宋_GB2312" w:cs="Times New Roman"/>
          <w:sz w:val="32"/>
          <w:szCs w:val="24"/>
          <w:lang w:eastAsia="zh-CN"/>
        </w:rPr>
        <w:t xml:space="preserve">                         </w:t>
      </w:r>
      <w:r>
        <w:rPr>
          <w:rFonts w:hint="default" w:ascii="Times New Roman" w:hAnsi="Times New Roman" w:eastAsia="仿宋_GB2312" w:cs="Times New Roman"/>
          <w:sz w:val="32"/>
          <w:szCs w:val="24"/>
        </w:rPr>
        <w:t>2022年</w:t>
      </w:r>
      <w:r>
        <w:rPr>
          <w:rFonts w:hint="default" w:ascii="Times New Roman" w:hAnsi="Times New Roman" w:eastAsia="仿宋_GB2312" w:cs="Times New Roman"/>
          <w:sz w:val="32"/>
          <w:szCs w:val="24"/>
          <w:lang w:eastAsia="zh-CN"/>
        </w:rPr>
        <w:t>5</w:t>
      </w:r>
      <w:r>
        <w:rPr>
          <w:rFonts w:hint="default" w:ascii="Times New Roman" w:hAnsi="Times New Roman" w:eastAsia="仿宋_GB2312" w:cs="Times New Roman"/>
          <w:sz w:val="32"/>
          <w:szCs w:val="24"/>
        </w:rPr>
        <w:t>月</w:t>
      </w:r>
      <w:r>
        <w:rPr>
          <w:rFonts w:hint="eastAsia" w:ascii="Times New Roman" w:hAnsi="Times New Roman" w:eastAsia="仿宋_GB2312" w:cs="Times New Roman"/>
          <w:sz w:val="32"/>
          <w:szCs w:val="24"/>
          <w:lang w:val="en-US" w:eastAsia="zh-CN"/>
        </w:rPr>
        <w:t>17</w:t>
      </w:r>
      <w:r>
        <w:rPr>
          <w:rFonts w:hint="default" w:ascii="Times New Roman" w:hAnsi="Times New Roman" w:eastAsia="仿宋_GB2312" w:cs="Times New Roman"/>
          <w:sz w:val="32"/>
          <w:szCs w:val="24"/>
        </w:rPr>
        <w:t>日</w:t>
      </w:r>
      <w:r>
        <w:rPr>
          <w:rFonts w:hint="default" w:ascii="Times New Roman" w:hAnsi="Times New Roman" w:eastAsia="仿宋_GB2312" w:cs="Times New Roman"/>
          <w:sz w:val="32"/>
          <w:szCs w:val="24"/>
          <w:lang w:eastAsia="zh-CN"/>
        </w:rPr>
        <w:t xml:space="preserve">        </w:t>
      </w:r>
    </w:p>
    <w:p>
      <w:pPr>
        <w:keepNext w:val="0"/>
        <w:keepLines w:val="0"/>
        <w:pageBreakBefore w:val="0"/>
        <w:widowControl w:val="0"/>
        <w:kinsoku/>
        <w:wordWrap/>
        <w:topLinePunct w:val="0"/>
        <w:autoSpaceDE/>
        <w:autoSpaceDN/>
        <w:bidi w:val="0"/>
        <w:snapToGrid/>
        <w:spacing w:beforeLines="0" w:afterLines="0" w:line="560" w:lineRule="exact"/>
        <w:ind w:firstLine="646"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（此件公开发布）</w:t>
      </w: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方正小标宋_GBK" w:cs="Times New Roman"/>
          <w:color w:val="000000"/>
          <w:sz w:val="44"/>
          <w:szCs w:val="24"/>
          <w:lang w:bidi="ar"/>
        </w:rPr>
        <w:sectPr>
          <w:headerReference r:id="rId3" w:type="default"/>
          <w:footerReference r:id="rId5" w:type="default"/>
          <w:headerReference r:id="rId4" w:type="even"/>
          <w:footerReference r:id="rId6" w:type="even"/>
          <w:pgSz w:w="11906" w:h="16838"/>
          <w:pgMar w:top="2098" w:right="1587" w:bottom="1984" w:left="1587" w:header="720" w:footer="1474" w:gutter="0"/>
          <w:paperSrc w:first="15" w:other="15"/>
          <w:lnNumType w:countBy="0" w:distance="360"/>
          <w:pgNumType w:fmt="numberInDash" w:start="1"/>
          <w:cols w:space="720" w:num="1"/>
          <w:docGrid w:type="linesAndChars" w:linePitch="590" w:charSpace="697"/>
        </w:sectPr>
      </w:pP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方正小标宋_GBK" w:cs="Times New Roman"/>
          <w:color w:val="000000"/>
          <w:sz w:val="44"/>
          <w:szCs w:val="44"/>
          <w:lang w:eastAsia="zh-CN" w:bidi="ar"/>
        </w:rPr>
      </w:pPr>
      <w:r>
        <w:rPr>
          <w:rFonts w:hint="default" w:ascii="Times New Roman" w:hAnsi="Times New Roman" w:eastAsia="方正小标宋_GBK" w:cs="Times New Roman"/>
          <w:color w:val="000000"/>
          <w:sz w:val="44"/>
          <w:szCs w:val="44"/>
          <w:lang w:bidi="ar"/>
        </w:rPr>
        <w:t>关于进一步帮助市场主体</w:t>
      </w: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方正小标宋_GBK" w:cs="Times New Roman"/>
          <w:color w:val="000000"/>
          <w:sz w:val="44"/>
          <w:szCs w:val="44"/>
          <w:lang w:eastAsia="zh-CN" w:bidi="ar"/>
        </w:rPr>
      </w:pPr>
      <w:r>
        <w:rPr>
          <w:rFonts w:hint="default" w:ascii="Times New Roman" w:hAnsi="Times New Roman" w:eastAsia="方正小标宋_GBK" w:cs="Times New Roman"/>
          <w:color w:val="000000"/>
          <w:sz w:val="44"/>
          <w:szCs w:val="44"/>
          <w:lang w:bidi="ar"/>
        </w:rPr>
        <w:t>纾困解难着力稳定经济增长具体实施细则</w:t>
      </w:r>
    </w:p>
    <w:p>
      <w:pPr>
        <w:keepNext w:val="0"/>
        <w:keepLines w:val="0"/>
        <w:pageBreakBefore w:val="0"/>
        <w:widowControl w:val="0"/>
        <w:kinsoku/>
        <w:wordWrap/>
        <w:topLinePunct w:val="0"/>
        <w:autoSpaceDE/>
        <w:autoSpaceDN/>
        <w:bidi w:val="0"/>
        <w:snapToGrid/>
        <w:spacing w:beforeLines="0" w:afterLines="0" w:line="560" w:lineRule="exact"/>
        <w:ind w:firstLine="0"/>
        <w:jc w:val="center"/>
        <w:rPr>
          <w:rFonts w:hint="default" w:ascii="Times New Roman" w:hAnsi="Times New Roman" w:eastAsia="方正小标宋_GBK" w:cs="Times New Roman"/>
          <w:color w:val="000000"/>
          <w:sz w:val="44"/>
          <w:szCs w:val="24"/>
          <w:lang w:eastAsia="zh-CN"/>
        </w:rPr>
      </w:pP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仿宋_GB2312" w:cs="Times New Roman"/>
          <w:color w:val="000000"/>
          <w:sz w:val="32"/>
          <w:szCs w:val="32"/>
          <w:lang w:bidi="ar"/>
        </w:rPr>
      </w:pPr>
      <w:r>
        <w:rPr>
          <w:rFonts w:hint="default" w:ascii="Times New Roman" w:hAnsi="Times New Roman" w:eastAsia="仿宋_GB2312" w:cs="Times New Roman"/>
          <w:color w:val="000000"/>
          <w:sz w:val="32"/>
          <w:szCs w:val="32"/>
          <w:lang w:bidi="ar"/>
        </w:rPr>
        <w:t>为深入贯彻落实省政府《关于进一步帮助市场主体纾困解难着力稳定经济增长若干政策措施的通知》（苏政发〔2022〕1号）和市政府《关于进一步帮助市场主体纾困解难着力稳定经济增长具体实施细则的通知》（淮政发〔2022〕7号）等文件精神，坚持稳字当头、稳中求进，把稳增长摆在更加突出位置，进一步帮助市场主体纾困解难，提振信心、稳定预期，着力稳定经济增长，结合金湖实际，特制定如下具体措施。</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lang w:bidi="ar"/>
        </w:rPr>
        <w:t>一、落实财税支持政策</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方正楷体_GBK" w:cs="Times New Roman"/>
          <w:color w:val="000000"/>
          <w:sz w:val="32"/>
          <w:szCs w:val="24"/>
        </w:rPr>
      </w:pPr>
      <w:r>
        <w:rPr>
          <w:rFonts w:hint="default" w:ascii="Times New Roman" w:hAnsi="Times New Roman" w:eastAsia="仿宋_GB2312" w:cs="Times New Roman"/>
          <w:color w:val="000000"/>
          <w:sz w:val="32"/>
          <w:szCs w:val="32"/>
          <w:lang w:bidi="ar"/>
        </w:rPr>
        <w:t>1</w:t>
      </w:r>
      <w:r>
        <w:rPr>
          <w:rFonts w:hint="default" w:ascii="Times New Roman" w:hAnsi="Times New Roman" w:eastAsia="仿宋_GB2312" w:cs="Times New Roman"/>
          <w:color w:val="000000"/>
          <w:sz w:val="32"/>
          <w:szCs w:val="32"/>
          <w:lang w:val="en-US" w:eastAsia="zh-CN" w:bidi="ar"/>
        </w:rPr>
        <w:t>.</w:t>
      </w:r>
      <w:r>
        <w:rPr>
          <w:rFonts w:hint="default" w:ascii="Times New Roman" w:hAnsi="Times New Roman" w:eastAsia="仿宋_GB2312" w:cs="Times New Roman"/>
          <w:color w:val="000000"/>
          <w:sz w:val="32"/>
          <w:szCs w:val="32"/>
          <w:lang w:bidi="ar"/>
        </w:rPr>
        <w:t>积极争取省市专项资金，支持生产经营暂时面临困难但产品有市场、项目有前景、技术有竞争力的中小微企业，以及劳动力密集、社会效益高的民生领域服务型中小微企业。设立金湖县制造业高质量发展专项资金，发布项目申报指南，重点鼓励企业扩大投资和科技创新，对存量企业实施的技改项目、新招引重点产业和先进制造业集群项目，规模以上企业、高新技术企业、上市企业、专精特新“小巨人”企业、绿色制造企业培育、企业研发等方面给予扶持。</w:t>
      </w:r>
      <w:r>
        <w:rPr>
          <w:rFonts w:hint="default" w:ascii="Times New Roman" w:hAnsi="Times New Roman" w:eastAsia="方正楷体_GBK" w:cs="Times New Roman"/>
          <w:color w:val="000000"/>
          <w:sz w:val="32"/>
          <w:szCs w:val="32"/>
          <w:lang w:bidi="ar"/>
        </w:rPr>
        <w:t>（责任单位：县工信局、县科技局、县市场监管局、县财政局，各镇（街）、经济开发区。以下措施均需各镇（街）、经济开发区落实，不再单独列出）</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方正楷体_GBK" w:cs="Times New Roman"/>
          <w:color w:val="000000"/>
          <w:sz w:val="32"/>
          <w:szCs w:val="24"/>
          <w:lang w:bidi="ar"/>
        </w:rPr>
      </w:pPr>
      <w:r>
        <w:rPr>
          <w:rFonts w:hint="default" w:ascii="Times New Roman" w:hAnsi="Times New Roman" w:eastAsia="方正仿宋_GBK" w:cs="Times New Roman"/>
          <w:color w:val="000000"/>
          <w:sz w:val="32"/>
          <w:szCs w:val="24"/>
          <w:lang w:bidi="ar"/>
        </w:rPr>
        <w:t>2</w:t>
      </w:r>
      <w:r>
        <w:rPr>
          <w:rFonts w:hint="default" w:ascii="Times New Roman" w:hAnsi="Times New Roman" w:eastAsia="方正仿宋_GBK"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出台《金湖县工业智能化改造和数字化转型三年行动</w:t>
      </w:r>
      <w:r>
        <w:rPr>
          <w:rFonts w:hint="eastAsia" w:ascii="Times New Roman" w:hAnsi="Times New Roman" w:eastAsia="仿宋_GB2312" w:cs="Times New Roman"/>
          <w:color w:val="000000"/>
          <w:sz w:val="32"/>
          <w:szCs w:val="24"/>
          <w:lang w:val="en-US" w:eastAsia="zh-CN" w:bidi="ar"/>
        </w:rPr>
        <w:t>计划</w:t>
      </w:r>
      <w:r>
        <w:rPr>
          <w:rFonts w:hint="default" w:ascii="Times New Roman" w:hAnsi="Times New Roman" w:eastAsia="仿宋_GB2312" w:cs="Times New Roman"/>
          <w:color w:val="000000"/>
          <w:sz w:val="32"/>
          <w:szCs w:val="24"/>
          <w:lang w:bidi="ar"/>
        </w:rPr>
        <w:t>（2022</w:t>
      </w:r>
      <w:r>
        <w:rPr>
          <w:rFonts w:hint="eastAsia" w:ascii="Times New Roman" w:hAnsi="Times New Roman" w:eastAsia="仿宋_GB2312"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2024年）》，拟出台《关于加快金湖县工业智能化改造和数字化转型的若干政策意见》，积极争取省、市工业企业</w:t>
      </w:r>
      <w:r>
        <w:rPr>
          <w:rFonts w:hint="default" w:ascii="Times New Roman" w:hAnsi="Times New Roman" w:eastAsia="仿宋_GB2312" w:cs="Times New Roman"/>
          <w:color w:val="000000"/>
          <w:sz w:val="32"/>
          <w:szCs w:val="32"/>
          <w:lang w:bidi="ar"/>
        </w:rPr>
        <w:t>“智改数转”专项资金。开展“智改数转”培训对接和咨询诊断活动，对符合条件的企业上云和工业互联网等“智改数转”项</w:t>
      </w:r>
      <w:r>
        <w:rPr>
          <w:rFonts w:hint="default" w:ascii="Times New Roman" w:hAnsi="Times New Roman" w:eastAsia="仿宋_GB2312" w:cs="Times New Roman"/>
          <w:color w:val="000000"/>
          <w:sz w:val="32"/>
          <w:szCs w:val="24"/>
          <w:lang w:bidi="ar"/>
        </w:rPr>
        <w:t>目予以奖补，每年培育省星级上云企业10家。</w:t>
      </w:r>
      <w:r>
        <w:rPr>
          <w:rFonts w:hint="default" w:ascii="Times New Roman" w:hAnsi="Times New Roman" w:eastAsia="方正楷体_GBK" w:cs="Times New Roman"/>
          <w:color w:val="000000"/>
          <w:sz w:val="32"/>
          <w:szCs w:val="24"/>
          <w:lang w:bidi="ar"/>
        </w:rPr>
        <w:t>（责任单位：县工信局、县财政局）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方正楷体_GBK" w:cs="Times New Roman"/>
          <w:color w:val="000000"/>
          <w:sz w:val="32"/>
          <w:szCs w:val="24"/>
          <w:lang w:bidi="ar"/>
        </w:rPr>
      </w:pPr>
      <w:r>
        <w:rPr>
          <w:rFonts w:hint="default" w:ascii="Times New Roman" w:hAnsi="Times New Roman" w:eastAsia="方正仿宋_GBK" w:cs="Times New Roman"/>
          <w:color w:val="000000"/>
          <w:sz w:val="32"/>
          <w:szCs w:val="24"/>
          <w:lang w:bidi="ar"/>
        </w:rPr>
        <w:t>3</w:t>
      </w:r>
      <w:r>
        <w:rPr>
          <w:rFonts w:hint="default" w:ascii="Times New Roman" w:hAnsi="Times New Roman" w:eastAsia="方正仿宋_GBK"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认真落实月销售额15万元以下的小规模纳税人（自2022年4月1日至2022年12月31日，增值税小规模纳税人适用3%征收率的应税销售收入，免增值税；适用3%预征率的预缴增值税项目，暂停预缴增值税），公交和长途客运、轮客渡、出租车等公共交通运输服务免征增值税政策。免征符合条件的科技企业孵化器和众创空间孵化服务增值税，对其自用及提供给在孵对象使用的房产、土地免征房产税和城镇土地使用税。加大科创载体建设，对符合条件的创投企业和天使投资个人对其投资的，按投资额一定比例抵扣应纳税所得额。对符合条件的从事污染防治的第三方企业减按15%的税率征收企业所得税。</w:t>
      </w:r>
      <w:r>
        <w:rPr>
          <w:rFonts w:hint="default" w:ascii="Times New Roman" w:hAnsi="Times New Roman" w:eastAsia="方正楷体_GBK" w:cs="Times New Roman"/>
          <w:color w:val="000000"/>
          <w:sz w:val="32"/>
          <w:szCs w:val="24"/>
          <w:lang w:bidi="ar"/>
        </w:rPr>
        <w:t>（责任单位：县税务局、县财政局、县科技局）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方正楷体_GBK" w:cs="Times New Roman"/>
          <w:color w:val="000000"/>
          <w:sz w:val="32"/>
          <w:szCs w:val="24"/>
          <w:lang w:bidi="ar"/>
        </w:rPr>
      </w:pPr>
      <w:r>
        <w:rPr>
          <w:rFonts w:hint="default" w:ascii="Times New Roman" w:hAnsi="Times New Roman" w:eastAsia="方正仿宋_GBK" w:cs="Times New Roman"/>
          <w:color w:val="000000"/>
          <w:sz w:val="32"/>
          <w:szCs w:val="24"/>
          <w:lang w:bidi="ar"/>
        </w:rPr>
        <w:t>4</w:t>
      </w:r>
      <w:r>
        <w:rPr>
          <w:rFonts w:hint="default" w:ascii="Times New Roman" w:hAnsi="Times New Roman" w:eastAsia="方正仿宋_GBK"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免征农产品批发市场、农贸市场房产税和城镇土地使用税。免征城市公交场站等运营用地城镇土地使用税。对承担商品储备政策性业务的企业自用房产、土地免征房产税和城镇土地使用税。对受疫情影响严重的住宿餐饮、文体娱乐、交通运输、旅游、零售、仓储等行业纳税人和增值税小规模纳税人，暂免征收2022年房产税、城镇土地使用税。其他行业纳税人生产经营确有困难的，可依规定申请减免房产税、城镇土地使用税。</w:t>
      </w:r>
      <w:r>
        <w:rPr>
          <w:rFonts w:hint="default" w:ascii="Times New Roman" w:hAnsi="Times New Roman" w:eastAsia="方正楷体_GBK" w:cs="Times New Roman"/>
          <w:color w:val="000000"/>
          <w:sz w:val="32"/>
          <w:szCs w:val="24"/>
          <w:lang w:bidi="ar"/>
        </w:rPr>
        <w:t>（责任单位：县税务局、县财政局）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方正楷体_GBK" w:cs="Times New Roman"/>
          <w:color w:val="000000"/>
          <w:sz w:val="32"/>
          <w:szCs w:val="24"/>
          <w:lang w:bidi="ar"/>
        </w:rPr>
      </w:pPr>
      <w:r>
        <w:rPr>
          <w:rFonts w:hint="default" w:ascii="Times New Roman" w:hAnsi="Times New Roman" w:eastAsia="方正仿宋_GBK" w:cs="Times New Roman"/>
          <w:color w:val="000000"/>
          <w:sz w:val="32"/>
          <w:szCs w:val="24"/>
          <w:lang w:bidi="ar"/>
        </w:rPr>
        <w:t>5</w:t>
      </w:r>
      <w:r>
        <w:rPr>
          <w:rFonts w:hint="default" w:ascii="Times New Roman" w:hAnsi="Times New Roman" w:eastAsia="方正仿宋_GBK"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符合条件的困难企业经税务部门批准缓缴后，及时认定审批缓缴养老、失业和工伤三项社会保险费，缓缴期最长6个月；对我县上年度失业保险基金滚存结余备付期限在1年以上，受疫情影响较大的旅游企业阶段性实施缓缴失业保险、工伤保险费政策，期限不超过1年，缓缴期间免收滞纳金，不影响职工个人权益记录。保障缓缴旅游企业信用记录，涉及的企业和个人信用信息记录相关部门可不归集推送至市公共信用信息系统。对受疫情影响生产订单未完成或产品交付不及时的企业，采取便利信用修复流程，规避失信风险。根据省市统一部署，继续实施国家阶段性降低失业保险、工伤保险费政策。继续开展职业技能培训，按规定落实培训补贴政策。</w:t>
      </w:r>
      <w:r>
        <w:rPr>
          <w:rFonts w:hint="default" w:ascii="Times New Roman" w:hAnsi="Times New Roman" w:eastAsia="方正楷体_GBK" w:cs="Times New Roman"/>
          <w:color w:val="000000"/>
          <w:sz w:val="32"/>
          <w:szCs w:val="24"/>
          <w:lang w:bidi="ar"/>
        </w:rPr>
        <w:t>（责任单位：县人社局、县财政局、县市场监管局、县税务局）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方正楷体_GBK" w:cs="Times New Roman"/>
          <w:color w:val="000000"/>
          <w:sz w:val="32"/>
          <w:szCs w:val="24"/>
          <w:lang w:bidi="ar"/>
        </w:rPr>
      </w:pPr>
      <w:r>
        <w:rPr>
          <w:rFonts w:hint="default" w:ascii="Times New Roman" w:hAnsi="Times New Roman" w:eastAsia="方正仿宋_GBK" w:cs="Times New Roman"/>
          <w:color w:val="000000"/>
          <w:sz w:val="32"/>
          <w:szCs w:val="24"/>
          <w:lang w:bidi="ar"/>
        </w:rPr>
        <w:t>6</w:t>
      </w:r>
      <w:r>
        <w:rPr>
          <w:rFonts w:hint="default" w:ascii="Times New Roman" w:hAnsi="Times New Roman" w:eastAsia="方正仿宋_GBK"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受疫情影响较重的中小微企业，经职工代表大会或工会讨论通过，可申请缓缴1次住房公积金，缓缴期限不超过6个月，缓缴期限届满后，企业应当恢复缴存；可申请降低住房公积金缴存比例，申请降低缴存比例的企业和职工缴存比例最低5%，降低缴存比例期限最长12个月，期满后恢复原比例缴存。</w:t>
      </w:r>
      <w:r>
        <w:rPr>
          <w:rFonts w:hint="default" w:ascii="Times New Roman" w:hAnsi="Times New Roman" w:eastAsia="方正楷体_GBK" w:cs="Times New Roman"/>
          <w:color w:val="000000"/>
          <w:sz w:val="32"/>
          <w:szCs w:val="24"/>
          <w:lang w:bidi="ar"/>
        </w:rPr>
        <w:t>（责任单位：县住房公积金管理中心）</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rPr>
      </w:pPr>
      <w:r>
        <w:rPr>
          <w:rFonts w:hint="default" w:ascii="Times New Roman" w:hAnsi="Times New Roman" w:cs="Times New Roman"/>
          <w:color w:val="000000"/>
          <w:sz w:val="32"/>
          <w:szCs w:val="24"/>
          <w:lang w:bidi="ar"/>
        </w:rPr>
        <w:t>7</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实施失业保险援企稳岗</w:t>
      </w:r>
      <w:r>
        <w:rPr>
          <w:rFonts w:hint="default" w:ascii="Times New Roman" w:hAnsi="Times New Roman" w:eastAsia="仿宋_GB2312" w:cs="Times New Roman"/>
          <w:color w:val="000000"/>
          <w:sz w:val="32"/>
          <w:szCs w:val="32"/>
          <w:lang w:bidi="ar"/>
        </w:rPr>
        <w:t>“护航行动”</w:t>
      </w:r>
      <w:r>
        <w:rPr>
          <w:rFonts w:hint="default" w:ascii="Times New Roman" w:hAnsi="Times New Roman" w:eastAsia="仿宋_GB2312" w:cs="Times New Roman"/>
          <w:color w:val="000000"/>
          <w:sz w:val="32"/>
          <w:szCs w:val="24"/>
          <w:lang w:bidi="ar"/>
        </w:rPr>
        <w:t>，</w:t>
      </w:r>
      <w:r>
        <w:rPr>
          <w:rFonts w:hint="default" w:ascii="Times New Roman" w:hAnsi="Times New Roman" w:eastAsia="仿宋_GB2312" w:cs="Times New Roman"/>
          <w:color w:val="000000"/>
          <w:sz w:val="32"/>
          <w:szCs w:val="24"/>
          <w:lang w:eastAsia="zh-CN" w:bidi="ar"/>
        </w:rPr>
        <w:t>我县</w:t>
      </w:r>
      <w:r>
        <w:rPr>
          <w:rFonts w:hint="default" w:ascii="Times New Roman" w:hAnsi="Times New Roman" w:eastAsia="仿宋_GB2312" w:cs="Times New Roman"/>
          <w:color w:val="000000"/>
          <w:sz w:val="32"/>
          <w:szCs w:val="24"/>
          <w:lang w:bidi="ar"/>
        </w:rPr>
        <w:t>上年度失业保险基金滚存结余备付期限在1年以上的继续实施普惠性失业保险稳岗返还政策。失业保险参保企业上年度裁员率不高于上年度全国城镇调查失业率控制目标的，30人（含）以下的参保企业裁员率不高于企业参保职工总数20%的，可以申请失业保险稳岗返还。大型企业按企业及其职工上年度实际缴纳失业保险费的30%返还，中小微企业按90%返还。以单位形式参保的个体经济组织参照中小微企业实施稳岗返还，社会团体、基金会、社会服务机构、律师事务所、会计师事务所参照大型企业实施稳岗返还。大力推广通过数据比对精准发放的</w:t>
      </w:r>
      <w:r>
        <w:rPr>
          <w:rFonts w:hint="default" w:ascii="Times New Roman" w:hAnsi="Times New Roman" w:eastAsia="仿宋_GB2312" w:cs="Times New Roman"/>
          <w:color w:val="000000"/>
          <w:sz w:val="32"/>
          <w:szCs w:val="32"/>
          <w:lang w:bidi="ar"/>
        </w:rPr>
        <w:t>“免申即享”</w:t>
      </w:r>
      <w:r>
        <w:rPr>
          <w:rFonts w:hint="default" w:ascii="Times New Roman" w:hAnsi="Times New Roman" w:eastAsia="仿宋_GB2312" w:cs="Times New Roman"/>
          <w:color w:val="000000"/>
          <w:sz w:val="32"/>
          <w:szCs w:val="24"/>
          <w:lang w:bidi="ar"/>
        </w:rPr>
        <w:t>经办新模式，进一步畅通返还渠道，对没有对公账户的小微企业，可将资金直接返还至其缴纳社会保险费账户。小微企业招用符合条件的高校毕业生，按规定给予社保补贴和培训补贴。</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人社局、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税务局）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8</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灵活就业人员参加职工基本医疗保险费率</w:t>
      </w:r>
      <w:r>
        <w:rPr>
          <w:rFonts w:hint="default" w:ascii="Times New Roman" w:hAnsi="Times New Roman" w:eastAsia="仿宋_GB2312" w:cs="Times New Roman"/>
          <w:color w:val="000000"/>
          <w:sz w:val="32"/>
          <w:szCs w:val="24"/>
          <w:lang w:eastAsia="zh-CN" w:bidi="ar"/>
        </w:rPr>
        <w:t>2022年1月由10</w:t>
      </w:r>
      <w:r>
        <w:rPr>
          <w:rFonts w:hint="default" w:ascii="Times New Roman" w:hAnsi="Times New Roman" w:eastAsia="仿宋_GB2312" w:cs="Times New Roman"/>
          <w:color w:val="000000"/>
          <w:sz w:val="32"/>
          <w:szCs w:val="24"/>
          <w:lang w:bidi="ar"/>
        </w:rPr>
        <w:t>%</w:t>
      </w:r>
      <w:r>
        <w:rPr>
          <w:rFonts w:hint="default" w:ascii="Times New Roman" w:hAnsi="Times New Roman" w:eastAsia="仿宋_GB2312" w:cs="Times New Roman"/>
          <w:color w:val="000000"/>
          <w:sz w:val="32"/>
          <w:szCs w:val="24"/>
          <w:lang w:eastAsia="zh-CN" w:bidi="ar"/>
        </w:rPr>
        <w:t>统一调整为</w:t>
      </w:r>
      <w:r>
        <w:rPr>
          <w:rFonts w:hint="default" w:ascii="Times New Roman" w:hAnsi="Times New Roman" w:eastAsia="仿宋_GB2312" w:cs="Times New Roman"/>
          <w:color w:val="000000"/>
          <w:sz w:val="32"/>
          <w:szCs w:val="24"/>
          <w:lang w:bidi="ar"/>
        </w:rPr>
        <w:t>9%（不含生育保险费率）</w:t>
      </w:r>
      <w:r>
        <w:rPr>
          <w:rFonts w:hint="default" w:ascii="Times New Roman" w:hAnsi="Times New Roman" w:eastAsia="仿宋_GB2312" w:cs="Times New Roman"/>
          <w:color w:val="000000"/>
          <w:sz w:val="32"/>
          <w:szCs w:val="24"/>
          <w:lang w:eastAsia="zh-CN" w:bidi="ar"/>
        </w:rPr>
        <w:t>，并按规定划拨个人账户。</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医保局、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税务局）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方正楷体_GBK" w:cs="Times New Roman"/>
          <w:snapToGrid w:val="0"/>
          <w:color w:val="000000"/>
          <w:sz w:val="32"/>
          <w:szCs w:val="24"/>
          <w:lang w:eastAsia="zh-TW" w:bidi="ar"/>
        </w:rPr>
      </w:pPr>
      <w:r>
        <w:rPr>
          <w:rFonts w:hint="default" w:ascii="Times New Roman" w:hAnsi="Times New Roman" w:eastAsia="方正仿宋_GBK" w:cs="Times New Roman"/>
          <w:color w:val="000000"/>
          <w:sz w:val="32"/>
          <w:szCs w:val="24"/>
          <w:lang w:bidi="ar"/>
        </w:rPr>
        <w:t>9</w:t>
      </w:r>
      <w:r>
        <w:rPr>
          <w:rFonts w:hint="default" w:ascii="Times New Roman" w:hAnsi="Times New Roman" w:eastAsia="方正仿宋_GBK"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加快资金执行进度，完善支出进度定期通报机制，按月考核财政涉企专项资金支出进度，提高财政资金使用效益，力争2022年上半年涉企专项资金分配下达进度达到70%。加快出口退税进度，把办理正常出口退税的平均时间压缩至5个工作日以内。</w:t>
      </w:r>
      <w:r>
        <w:rPr>
          <w:rFonts w:hint="default" w:ascii="Times New Roman" w:hAnsi="Times New Roman" w:eastAsia="方正楷体_GBK" w:cs="Times New Roman"/>
          <w:snapToGrid w:val="0"/>
          <w:color w:val="000000"/>
          <w:sz w:val="32"/>
          <w:szCs w:val="24"/>
          <w:lang w:eastAsia="zh-TW" w:bidi="ar"/>
        </w:rPr>
        <w:t>（责任单位：</w:t>
      </w:r>
      <w:r>
        <w:rPr>
          <w:rFonts w:hint="default" w:ascii="Times New Roman" w:hAnsi="Times New Roman" w:eastAsia="方正楷体_GBK" w:cs="Times New Roman"/>
          <w:color w:val="000000"/>
          <w:sz w:val="32"/>
          <w:szCs w:val="24"/>
          <w:lang w:bidi="ar"/>
        </w:rPr>
        <w:t>县</w:t>
      </w:r>
      <w:r>
        <w:rPr>
          <w:rFonts w:hint="default" w:ascii="Times New Roman" w:hAnsi="Times New Roman" w:eastAsia="方正楷体_GBK" w:cs="Times New Roman"/>
          <w:snapToGrid w:val="0"/>
          <w:color w:val="000000"/>
          <w:sz w:val="32"/>
          <w:szCs w:val="24"/>
          <w:lang w:eastAsia="zh-TW" w:bidi="ar"/>
        </w:rPr>
        <w:t>财政局、</w:t>
      </w:r>
      <w:r>
        <w:rPr>
          <w:rFonts w:hint="default" w:ascii="Times New Roman" w:hAnsi="Times New Roman" w:eastAsia="方正楷体_GBK" w:cs="Times New Roman"/>
          <w:color w:val="000000"/>
          <w:sz w:val="32"/>
          <w:szCs w:val="24"/>
          <w:lang w:bidi="ar"/>
        </w:rPr>
        <w:t>县</w:t>
      </w:r>
      <w:r>
        <w:rPr>
          <w:rFonts w:hint="default" w:ascii="Times New Roman" w:hAnsi="Times New Roman" w:eastAsia="方正楷体_GBK" w:cs="Times New Roman"/>
          <w:snapToGrid w:val="0"/>
          <w:color w:val="000000"/>
          <w:sz w:val="32"/>
          <w:szCs w:val="24"/>
          <w:lang w:eastAsia="zh-TW" w:bidi="ar"/>
        </w:rPr>
        <w:t>税务局）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黑体" w:cs="Times New Roman"/>
          <w:color w:val="000000"/>
          <w:sz w:val="32"/>
          <w:szCs w:val="32"/>
          <w:lang w:bidi="ar"/>
        </w:rPr>
      </w:pPr>
      <w:r>
        <w:rPr>
          <w:rFonts w:hint="default" w:ascii="Times New Roman" w:hAnsi="Times New Roman" w:eastAsia="黑体" w:cs="Times New Roman"/>
          <w:color w:val="000000"/>
          <w:sz w:val="32"/>
          <w:szCs w:val="32"/>
          <w:lang w:bidi="ar"/>
        </w:rPr>
        <w:t>二、加大金融支持力度</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方正楷体_GBK" w:cs="Times New Roman"/>
          <w:snapToGrid w:val="0"/>
          <w:color w:val="000000"/>
          <w:sz w:val="32"/>
          <w:szCs w:val="24"/>
          <w:lang w:eastAsia="zh-TW" w:bidi="ar"/>
        </w:rPr>
      </w:pPr>
      <w:r>
        <w:rPr>
          <w:rFonts w:hint="default" w:ascii="Times New Roman" w:hAnsi="Times New Roman" w:eastAsia="方正仿宋_GBK" w:cs="Times New Roman"/>
          <w:color w:val="000000"/>
          <w:sz w:val="32"/>
          <w:szCs w:val="24"/>
          <w:lang w:bidi="ar"/>
        </w:rPr>
        <w:t>10</w:t>
      </w:r>
      <w:r>
        <w:rPr>
          <w:rFonts w:hint="default" w:ascii="Times New Roman" w:hAnsi="Times New Roman" w:eastAsia="方正仿宋_GBK"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积极争取省新增再贷款额度，鼓励符合条件的地方法人银行申请再贷款，在市中心支行授权和指导下负责辖区法人机构再贷款发放和管理，加大对中小微企业和个体工商户的支持力度。稳步扩大小微贷、苏科贷、苏信贷、苏农贷、苏服贷等融资规模，重点投放信用贷、首贷。指导银行机构优化信贷流程、内部审批和考核办法，将相关银行贷款产品效果纳入小微企业信贷政策导向评估。推动银行机构加大纯信用类线上产品开发应用，适当降低产品准入条件，对符合条件的小微企业优先办理该类产品。加强对小微企业信用信息挖掘运用，提高信用贷款发放效率。引导银行机构将首贷纳入内部考核体系，对首贷户实行定价优惠和便捷流程。支持金融机构向符合条件的小微外贸企业提供物流方面的普惠型金融支持。</w:t>
      </w:r>
      <w:r>
        <w:rPr>
          <w:rFonts w:hint="default" w:ascii="Times New Roman" w:hAnsi="Times New Roman" w:eastAsia="方正楷体_GBK" w:cs="Times New Roman"/>
          <w:snapToGrid w:val="0"/>
          <w:color w:val="000000"/>
          <w:sz w:val="32"/>
          <w:szCs w:val="24"/>
          <w:lang w:eastAsia="zh-TW" w:bidi="ar"/>
        </w:rPr>
        <w:t>（责任单位：人民银行金湖县支行、</w:t>
      </w:r>
      <w:r>
        <w:rPr>
          <w:rFonts w:hint="default" w:ascii="Times New Roman" w:hAnsi="Times New Roman" w:eastAsia="方正楷体_GBK" w:cs="Times New Roman"/>
          <w:snapToGrid w:val="0"/>
          <w:color w:val="000000"/>
          <w:sz w:val="32"/>
          <w:szCs w:val="24"/>
          <w:lang w:bidi="ar"/>
        </w:rPr>
        <w:t>县</w:t>
      </w:r>
      <w:r>
        <w:rPr>
          <w:rFonts w:hint="default" w:ascii="Times New Roman" w:hAnsi="Times New Roman" w:eastAsia="方正楷体_GBK" w:cs="Times New Roman"/>
          <w:snapToGrid w:val="0"/>
          <w:color w:val="000000"/>
          <w:sz w:val="32"/>
          <w:szCs w:val="24"/>
          <w:lang w:eastAsia="zh-TW" w:bidi="ar"/>
        </w:rPr>
        <w:t>科技局、</w:t>
      </w:r>
      <w:r>
        <w:rPr>
          <w:rFonts w:hint="default" w:ascii="Times New Roman" w:hAnsi="Times New Roman" w:eastAsia="方正楷体_GBK" w:cs="Times New Roman"/>
          <w:snapToGrid w:val="0"/>
          <w:color w:val="000000"/>
          <w:sz w:val="32"/>
          <w:szCs w:val="24"/>
          <w:lang w:bidi="ar"/>
        </w:rPr>
        <w:t>县</w:t>
      </w:r>
      <w:r>
        <w:rPr>
          <w:rFonts w:hint="default" w:ascii="Times New Roman" w:hAnsi="Times New Roman" w:eastAsia="方正楷体_GBK" w:cs="Times New Roman"/>
          <w:snapToGrid w:val="0"/>
          <w:color w:val="000000"/>
          <w:sz w:val="32"/>
          <w:szCs w:val="24"/>
          <w:lang w:eastAsia="zh-TW" w:bidi="ar"/>
        </w:rPr>
        <w:t>农业农村局、</w:t>
      </w:r>
      <w:r>
        <w:rPr>
          <w:rFonts w:hint="default" w:ascii="Times New Roman" w:hAnsi="Times New Roman" w:eastAsia="方正楷体_GBK" w:cs="Times New Roman"/>
          <w:snapToGrid w:val="0"/>
          <w:color w:val="000000"/>
          <w:sz w:val="32"/>
          <w:szCs w:val="24"/>
          <w:lang w:bidi="ar"/>
        </w:rPr>
        <w:t>县</w:t>
      </w:r>
      <w:r>
        <w:rPr>
          <w:rFonts w:hint="default" w:ascii="Times New Roman" w:hAnsi="Times New Roman" w:eastAsia="方正楷体_GBK" w:cs="Times New Roman"/>
          <w:snapToGrid w:val="0"/>
          <w:color w:val="000000"/>
          <w:sz w:val="32"/>
          <w:szCs w:val="24"/>
          <w:lang w:eastAsia="zh-TW" w:bidi="ar"/>
        </w:rPr>
        <w:t>财政局）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方正楷体_GBK" w:cs="Times New Roman"/>
          <w:snapToGrid w:val="0"/>
          <w:color w:val="000000"/>
          <w:sz w:val="32"/>
          <w:szCs w:val="24"/>
          <w:lang w:eastAsia="zh-TW" w:bidi="ar"/>
        </w:rPr>
      </w:pPr>
      <w:r>
        <w:rPr>
          <w:rFonts w:hint="default" w:ascii="Times New Roman" w:hAnsi="Times New Roman" w:eastAsia="方正仿宋_GBK" w:cs="Times New Roman"/>
          <w:color w:val="000000"/>
          <w:sz w:val="32"/>
          <w:szCs w:val="24"/>
          <w:lang w:bidi="ar"/>
        </w:rPr>
        <w:t>11</w:t>
      </w:r>
      <w:r>
        <w:rPr>
          <w:rFonts w:hint="default" w:ascii="Times New Roman" w:hAnsi="Times New Roman" w:eastAsia="方正仿宋_GBK"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鼓励金融机构单列小微企业信贷计划，完善富民创业贷绩效考核，督促金融机构完善小微企业金融服务体系，对普惠型小微企业贷款实行优惠利率。将法人机构普惠小微贷款投放情况列入宏观审慎评估体系，对普惠小微贷款投放增速较低、占比较小机构，通过窗口指导、现场座谈等形式强化管理。对符合条件的小微企业贷款，给予低利率的再贷款资金支持。推动银行机构结合贷款市场报价利率走势，将货币、税收减免、财政奖补等政策红利向终端利率价格有效传导，确保信贷投放增量扩面，力争2022年新发放普惠型小微企业贷款利率较2021年稳中有降。鼓励融资担保机构对受疫情影响的中小微企业保持较低担保和再担保费率，逐步将政府性融资担保机构平均担保费率降至1%以下。对符合国家融资担保基金准入标准的</w:t>
      </w:r>
      <w:r>
        <w:rPr>
          <w:rFonts w:hint="default" w:ascii="Times New Roman" w:hAnsi="Times New Roman" w:eastAsia="仿宋_GB2312" w:cs="Times New Roman"/>
          <w:color w:val="000000"/>
          <w:sz w:val="32"/>
          <w:szCs w:val="32"/>
          <w:lang w:bidi="ar"/>
        </w:rPr>
        <w:t>“三农”“小微”“双创”</w:t>
      </w:r>
      <w:r>
        <w:rPr>
          <w:rFonts w:hint="default" w:ascii="Times New Roman" w:hAnsi="Times New Roman" w:eastAsia="仿宋_GB2312" w:cs="Times New Roman"/>
          <w:color w:val="000000"/>
          <w:sz w:val="32"/>
          <w:szCs w:val="24"/>
          <w:lang w:bidi="ar"/>
        </w:rPr>
        <w:t>等在疫情期间的担保项目，支持融资担保机构在原有基础上适当下调担保费。</w:t>
      </w:r>
      <w:r>
        <w:rPr>
          <w:rFonts w:hint="default" w:ascii="Times New Roman" w:hAnsi="Times New Roman" w:eastAsia="方正楷体_GBK" w:cs="Times New Roman"/>
          <w:snapToGrid w:val="0"/>
          <w:color w:val="000000"/>
          <w:sz w:val="32"/>
          <w:szCs w:val="24"/>
          <w:lang w:eastAsia="zh-TW" w:bidi="ar"/>
        </w:rPr>
        <w:t>（责任单位：人民银行金湖县支行、县金融管理服务中心、县财政局、</w:t>
      </w:r>
      <w:r>
        <w:rPr>
          <w:rFonts w:hint="default" w:ascii="Times New Roman" w:hAnsi="Times New Roman" w:eastAsia="方正楷体_GBK" w:cs="Times New Roman"/>
          <w:snapToGrid w:val="0"/>
          <w:color w:val="000000"/>
          <w:sz w:val="32"/>
          <w:szCs w:val="24"/>
          <w:lang w:bidi="ar"/>
        </w:rPr>
        <w:t>县人社局</w:t>
      </w:r>
      <w:r>
        <w:rPr>
          <w:rFonts w:hint="default" w:ascii="Times New Roman" w:hAnsi="Times New Roman" w:eastAsia="方正楷体_GBK" w:cs="Times New Roman"/>
          <w:snapToGrid w:val="0"/>
          <w:color w:val="000000"/>
          <w:sz w:val="32"/>
          <w:szCs w:val="24"/>
          <w:lang w:eastAsia="zh-TW" w:bidi="ar"/>
        </w:rPr>
        <w:t>）</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12</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优化产业链上下游企业金融服务，推动银行保险机构依托核心企业，整合金融产品、信息技术、客户基础、服务渠道等资源，打通交易数据、资金流和物流信息。推动应收账款融资增量扩面，落实国有企业对中小企业款项规范支付工作办法，定期组织国有企业开展款项支付自查工作，鼓励大型国有企业支持民营企业、中小微企业实行应收账款票据化。支持符合条件的企业根据生产经营需求和流动性管理能力，发行适当期限债券。鼓励信用优良企业发行小微企业增信集合债券，允许债券发行人使用不超过40%的债券资金用于补充流动资金。支持金融机构发行小微企业专项金融债券，争取更多金融市场创新产品在</w:t>
      </w:r>
      <w:r>
        <w:rPr>
          <w:rFonts w:hint="default" w:ascii="Times New Roman" w:hAnsi="Times New Roman" w:eastAsia="仿宋_GB2312" w:cs="Times New Roman"/>
          <w:color w:val="000000"/>
          <w:sz w:val="32"/>
          <w:szCs w:val="24"/>
          <w:lang w:eastAsia="zh-CN" w:bidi="ar"/>
        </w:rPr>
        <w:t>我县</w:t>
      </w:r>
      <w:r>
        <w:rPr>
          <w:rFonts w:hint="default" w:ascii="Times New Roman" w:hAnsi="Times New Roman" w:eastAsia="仿宋_GB2312" w:cs="Times New Roman"/>
          <w:color w:val="000000"/>
          <w:sz w:val="32"/>
          <w:szCs w:val="24"/>
          <w:lang w:bidi="ar"/>
        </w:rPr>
        <w:t>落地。</w:t>
      </w:r>
      <w:r>
        <w:rPr>
          <w:rFonts w:hint="default" w:ascii="Times New Roman" w:hAnsi="Times New Roman" w:eastAsia="方正楷体_GBK" w:cs="Times New Roman"/>
          <w:color w:val="000000"/>
          <w:sz w:val="32"/>
          <w:szCs w:val="24"/>
          <w:lang w:bidi="ar"/>
        </w:rPr>
        <w:t>（责任单位：人民银行金湖县支行、</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发改委）</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13</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完善金融机构支持高质量发展考核办法，加大普惠金融重点领域贷款考核权重，将小微企业投放情况纳入绩效考核，引导金融机构加大普惠领域信贷投放，通过差别化信贷政策加大对小微企业支持力度。通过优化存款利率定价管理、持续释放LPR改革潜力，指导传达省自律机制关于存款定价方式调整为</w:t>
      </w:r>
      <w:r>
        <w:rPr>
          <w:rFonts w:hint="default" w:ascii="Times New Roman" w:hAnsi="Times New Roman" w:eastAsia="仿宋_GB2312" w:cs="Times New Roman"/>
          <w:color w:val="000000"/>
          <w:sz w:val="32"/>
          <w:szCs w:val="32"/>
          <w:lang w:bidi="ar"/>
        </w:rPr>
        <w:t>“存款基准利率加点”</w:t>
      </w:r>
      <w:r>
        <w:rPr>
          <w:rFonts w:hint="default" w:ascii="Times New Roman" w:hAnsi="Times New Roman" w:eastAsia="仿宋_GB2312" w:cs="Times New Roman"/>
          <w:color w:val="000000"/>
          <w:sz w:val="32"/>
          <w:szCs w:val="24"/>
          <w:lang w:bidi="ar"/>
        </w:rPr>
        <w:t>方式要求和新上限，进一步降低实际贷款利率。运用普惠小微贷款支持工具，指导法人银行机构细化落实措施、优化业务流程。鼓励银行机构创新符合普惠小微企业需求的信贷产品，推广主动授信、随借随还贷款模式，主动跟进小微企业融资需求，做好延期还本付息政策到期的接续转换，对符合续贷条件的正常类小微企业贷款给予支持。督促金融机构落实不盲目抽贷、断贷、压贷等政策要求，采取多种措施防控、缓释、化解相关风险。</w:t>
      </w:r>
      <w:r>
        <w:rPr>
          <w:rFonts w:hint="default" w:ascii="Times New Roman" w:hAnsi="Times New Roman" w:eastAsia="方正楷体_GBK" w:cs="Times New Roman"/>
          <w:color w:val="000000"/>
          <w:sz w:val="32"/>
          <w:szCs w:val="24"/>
          <w:lang w:bidi="ar"/>
        </w:rPr>
        <w:t>（责任单位：人民银行金湖县支行、县金融管理服务中心）</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14</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eastAsia="zh-CN" w:bidi="ar"/>
        </w:rPr>
        <w:t>落实</w:t>
      </w:r>
      <w:r>
        <w:rPr>
          <w:rFonts w:hint="default" w:ascii="Times New Roman" w:hAnsi="Times New Roman" w:eastAsia="仿宋_GB2312" w:cs="Times New Roman"/>
          <w:color w:val="000000"/>
          <w:sz w:val="32"/>
          <w:szCs w:val="24"/>
          <w:lang w:bidi="ar"/>
        </w:rPr>
        <w:t>《淮安市信用信息共享应用促进中小微企业融资实施细则》</w:t>
      </w:r>
      <w:r>
        <w:rPr>
          <w:rFonts w:hint="default" w:ascii="Times New Roman" w:hAnsi="Times New Roman" w:eastAsia="仿宋_GB2312" w:cs="Times New Roman"/>
          <w:color w:val="000000"/>
          <w:sz w:val="32"/>
          <w:szCs w:val="24"/>
          <w:lang w:eastAsia="zh-CN" w:bidi="ar"/>
        </w:rPr>
        <w:t>。发挥淮安综合金融服务平台功能，引导中小微企业接入平台，鼓励金融机构在平台上线创新金融产品。落实</w:t>
      </w:r>
      <w:r>
        <w:rPr>
          <w:rFonts w:hint="default" w:ascii="Times New Roman" w:hAnsi="Times New Roman" w:eastAsia="仿宋_GB2312" w:cs="Times New Roman"/>
          <w:color w:val="000000"/>
          <w:sz w:val="32"/>
          <w:szCs w:val="24"/>
          <w:lang w:bidi="ar"/>
        </w:rPr>
        <w:t>《2022年惠企</w:t>
      </w:r>
      <w:r>
        <w:rPr>
          <w:rFonts w:hint="default" w:ascii="Times New Roman" w:hAnsi="Times New Roman" w:eastAsia="仿宋_GB2312" w:cs="Times New Roman"/>
          <w:color w:val="000000"/>
          <w:sz w:val="32"/>
          <w:szCs w:val="32"/>
          <w:lang w:bidi="ar"/>
        </w:rPr>
        <w:t>“码上贷”</w:t>
      </w:r>
      <w:r>
        <w:rPr>
          <w:rFonts w:hint="default" w:ascii="Times New Roman" w:hAnsi="Times New Roman" w:eastAsia="仿宋_GB2312" w:cs="Times New Roman"/>
          <w:color w:val="000000"/>
          <w:sz w:val="32"/>
          <w:szCs w:val="24"/>
          <w:lang w:bidi="ar"/>
        </w:rPr>
        <w:t>行动方案》</w:t>
      </w:r>
      <w:r>
        <w:rPr>
          <w:rFonts w:hint="default" w:ascii="Times New Roman" w:hAnsi="Times New Roman" w:eastAsia="仿宋_GB2312" w:cs="Times New Roman"/>
          <w:color w:val="000000"/>
          <w:sz w:val="32"/>
          <w:szCs w:val="24"/>
          <w:lang w:eastAsia="zh-CN" w:bidi="ar"/>
        </w:rPr>
        <w:t>，组织银行机构开展携码入企进园活动。推动银行机构优化对新市民及吸纳较多新市民的小微企业和个体工商户在账户开立、工资发放、社保公积金缴纳及使用等方面金融服务，加大对其创业就业、购房安居等方面信贷支持和保险保障。推动银行机构加大对未取得工商营业执照但取得其他有效经营活动证明的个体工商户等市场主体信贷投放，根据其生产经营特点改进信用评价和授信管理，鼓励对其首贷户倾斜信贷支持。开展政银企系列对接活动。</w:t>
      </w:r>
      <w:r>
        <w:rPr>
          <w:rFonts w:hint="default" w:ascii="Times New Roman" w:hAnsi="Times New Roman" w:eastAsia="方正楷体_GBK" w:cs="Times New Roman"/>
          <w:color w:val="000000"/>
          <w:sz w:val="32"/>
          <w:szCs w:val="24"/>
          <w:lang w:bidi="ar"/>
        </w:rPr>
        <w:t>（责任单位：县金融管理服务中心、人民银行金湖县支行）</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黑体" w:cs="Times New Roman"/>
          <w:sz w:val="32"/>
          <w:szCs w:val="32"/>
          <w:lang w:bidi="ar"/>
        </w:rPr>
      </w:pPr>
      <w:r>
        <w:rPr>
          <w:rFonts w:hint="default" w:ascii="Times New Roman" w:hAnsi="Times New Roman" w:eastAsia="黑体" w:cs="Times New Roman"/>
          <w:sz w:val="32"/>
          <w:szCs w:val="32"/>
          <w:lang w:bidi="ar"/>
        </w:rPr>
        <w:t>三、提升清费减负质效</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15</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对符合条件的承租国有企业（全资、控股和实际控制企业）和行政事业单位国有房屋的服务业小微企业和个体工商户，采取直接减免、抵扣租金、延长租期等方式，减免3个月租金。鼓励金融机构对服务业小微企业和个体工商户，增加年内优惠利率小额贷款投放，专门用于支付房屋租金。对减免租金的出租人给予基于房屋租金收入的优惠利率质押贷款等支持。</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机关事务</w:t>
      </w:r>
      <w:r>
        <w:rPr>
          <w:rFonts w:hint="default" w:ascii="Times New Roman" w:hAnsi="Times New Roman" w:eastAsia="方正楷体_GBK" w:cs="Times New Roman"/>
          <w:color w:val="000000"/>
          <w:sz w:val="32"/>
          <w:szCs w:val="24"/>
          <w:lang w:eastAsia="zh-CN" w:bidi="ar"/>
        </w:rPr>
        <w:t>服务中心</w:t>
      </w:r>
      <w:r>
        <w:rPr>
          <w:rFonts w:hint="default" w:ascii="Times New Roman" w:hAnsi="Times New Roman" w:eastAsia="方正楷体_GBK" w:cs="Times New Roman"/>
          <w:color w:val="000000"/>
          <w:sz w:val="32"/>
          <w:szCs w:val="24"/>
          <w:lang w:bidi="ar"/>
        </w:rPr>
        <w:t>、人民银行金湖县支行）</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16</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对月销售额不超过15万元（按季纳税的，季度销售额不超过45万元），按规定免征增值税的小规模纳税人，继续暂缓收缴工会经费，缓缴对象仅限企业，执行至2022年12月31日。对暂缓收缴工会经费范围外，符合《中小企业划型标准规定》（工信部联企业〔2011〕300号）小微企业，继续全额返还工会经费</w:t>
      </w:r>
      <w:r>
        <w:rPr>
          <w:rFonts w:hint="default" w:ascii="Times New Roman" w:hAnsi="Times New Roman" w:eastAsia="仿宋_GB2312" w:cs="Times New Roman"/>
          <w:color w:val="000000"/>
          <w:sz w:val="32"/>
          <w:szCs w:val="24"/>
          <w:lang w:eastAsia="zh-CN" w:bidi="ar"/>
        </w:rPr>
        <w:t>。</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总工会）</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32"/>
          <w:lang w:bidi="ar"/>
        </w:rPr>
      </w:pPr>
      <w:r>
        <w:rPr>
          <w:rFonts w:hint="default" w:ascii="Times New Roman" w:hAnsi="Times New Roman" w:cs="Times New Roman"/>
          <w:color w:val="000000"/>
          <w:sz w:val="32"/>
          <w:szCs w:val="24"/>
          <w:lang w:bidi="ar"/>
        </w:rPr>
        <w:t>17</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鼓励电信运营商对旅游、文化娱乐等生活性服务业中小微企业开展上门服务，减免相关网络和互联网产品使用费用，落实市出台的针对性优惠政策。</w:t>
      </w:r>
      <w:r>
        <w:rPr>
          <w:rFonts w:hint="default" w:ascii="Times New Roman" w:hAnsi="Times New Roman" w:eastAsia="方正楷体_GBK" w:cs="Times New Roman"/>
          <w:color w:val="000000"/>
          <w:sz w:val="32"/>
          <w:szCs w:val="32"/>
          <w:lang w:bidi="ar"/>
        </w:rPr>
        <w:t>（责任单位：</w:t>
      </w:r>
      <w:r>
        <w:rPr>
          <w:rFonts w:hint="eastAsia" w:ascii="Times New Roman" w:hAnsi="Times New Roman" w:eastAsia="方正楷体_GBK" w:cs="Times New Roman"/>
          <w:color w:val="000000"/>
          <w:sz w:val="32"/>
          <w:szCs w:val="32"/>
          <w:lang w:val="en-US" w:eastAsia="zh-CN" w:bidi="ar"/>
        </w:rPr>
        <w:t>县工信局</w:t>
      </w:r>
      <w:r>
        <w:rPr>
          <w:rFonts w:hint="default" w:ascii="Times New Roman" w:hAnsi="Times New Roman" w:eastAsia="方正楷体_GBK" w:cs="Times New Roman"/>
          <w:color w:val="000000"/>
          <w:sz w:val="32"/>
          <w:szCs w:val="32"/>
          <w:lang w:bidi="ar"/>
        </w:rPr>
        <w:t>）</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pacing w:val="-12"/>
          <w:sz w:val="32"/>
          <w:szCs w:val="24"/>
          <w:lang w:bidi="ar"/>
        </w:rPr>
      </w:pPr>
      <w:r>
        <w:rPr>
          <w:rFonts w:hint="default" w:ascii="Times New Roman" w:hAnsi="Times New Roman" w:cs="Times New Roman"/>
          <w:color w:val="000000"/>
          <w:sz w:val="32"/>
          <w:szCs w:val="24"/>
          <w:lang w:eastAsia="zh-CN" w:bidi="ar"/>
        </w:rPr>
        <w:t>18</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落实《保障中小企业款项支付条例》，机关、事业单位对满足政府采购合同约定支付条件的，自收到发票后15日内将资金支付到合同约定的供应商账户。机关、事业单位和大型企业不得强制中小企业接受商业汇票等非现金支付方式，不得滥用商业汇票变相占用中小企业资金。大型企业应在年度报告中向社会公布逾期未支付的中小企业款项。</w:t>
      </w:r>
      <w:r>
        <w:rPr>
          <w:rFonts w:hint="default" w:ascii="Times New Roman" w:hAnsi="Times New Roman" w:eastAsia="方正楷体_GBK" w:cs="Times New Roman"/>
          <w:color w:val="000000"/>
          <w:spacing w:val="-12"/>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pacing w:val="-12"/>
          <w:sz w:val="32"/>
          <w:szCs w:val="24"/>
          <w:lang w:bidi="ar"/>
        </w:rPr>
        <w:t>工信局、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pacing w:val="-12"/>
          <w:sz w:val="32"/>
          <w:szCs w:val="24"/>
          <w:lang w:bidi="ar"/>
        </w:rPr>
        <w:t>财政局）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cs="Times New Roman"/>
          <w:color w:val="000000"/>
          <w:sz w:val="32"/>
          <w:szCs w:val="24"/>
        </w:rPr>
      </w:pPr>
      <w:r>
        <w:rPr>
          <w:rFonts w:hint="default" w:ascii="Times New Roman" w:hAnsi="Times New Roman" w:cs="Times New Roman"/>
          <w:color w:val="000000"/>
          <w:sz w:val="32"/>
          <w:szCs w:val="24"/>
          <w:lang w:eastAsia="zh-CN" w:bidi="ar"/>
        </w:rPr>
        <w:t>19</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持续排查处理机关、事业单位和大型企业拒绝或迟延支付中小企业款项，加快验收已过建设期仍未验收或未及时竣工验收项目。优化建设工程竣工验收备案流程和工程建设项目联合验收方式，简化实行联合验收的工程建设项目竣工验收备案手续，试行对已满足使用功能的单位工程开展单独办理竣工验收备案手续。健全投诉事项核查处理和约束惩戒机制，建立问题</w:t>
      </w:r>
      <w:r>
        <w:rPr>
          <w:rFonts w:hint="default" w:ascii="Times New Roman" w:hAnsi="Times New Roman" w:eastAsia="仿宋_GB2312" w:cs="Times New Roman"/>
          <w:color w:val="000000"/>
          <w:sz w:val="32"/>
          <w:szCs w:val="32"/>
          <w:lang w:bidi="ar"/>
        </w:rPr>
        <w:t>“销号”</w:t>
      </w:r>
      <w:r>
        <w:rPr>
          <w:rFonts w:hint="default" w:ascii="Times New Roman" w:hAnsi="Times New Roman" w:eastAsia="仿宋_GB2312" w:cs="Times New Roman"/>
          <w:color w:val="000000"/>
          <w:sz w:val="32"/>
          <w:szCs w:val="24"/>
          <w:lang w:bidi="ar"/>
        </w:rPr>
        <w:t>制，逐项核实、限期处理企业投诉举报以及</w:t>
      </w:r>
      <w:r>
        <w:rPr>
          <w:rFonts w:hint="default" w:ascii="Times New Roman" w:hAnsi="Times New Roman" w:eastAsia="仿宋_GB2312" w:cs="Times New Roman"/>
          <w:color w:val="000000"/>
          <w:sz w:val="32"/>
          <w:szCs w:val="24"/>
          <w:lang w:eastAsia="zh-CN" w:bidi="ar"/>
        </w:rPr>
        <w:t>上级</w:t>
      </w:r>
      <w:r>
        <w:rPr>
          <w:rFonts w:hint="default" w:ascii="Times New Roman" w:hAnsi="Times New Roman" w:eastAsia="仿宋_GB2312" w:cs="Times New Roman"/>
          <w:color w:val="000000"/>
          <w:sz w:val="32"/>
          <w:szCs w:val="24"/>
          <w:lang w:bidi="ar"/>
        </w:rPr>
        <w:t>转办的拖欠案件。</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县住建局、县</w:t>
      </w:r>
      <w:r>
        <w:rPr>
          <w:rFonts w:hint="default" w:ascii="Times New Roman" w:hAnsi="Times New Roman" w:eastAsia="方正楷体_GBK" w:cs="Times New Roman"/>
          <w:color w:val="000000"/>
          <w:sz w:val="32"/>
          <w:szCs w:val="24"/>
          <w:lang w:bidi="ar"/>
        </w:rPr>
        <w:t>工信局、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r>
        <w:rPr>
          <w:rFonts w:hint="default" w:ascii="Times New Roman" w:hAnsi="Times New Roman" w:eastAsia="方正楷体_GBK" w:cs="Times New Roman"/>
          <w:color w:val="000000"/>
          <w:sz w:val="32"/>
          <w:szCs w:val="24"/>
          <w:lang w:eastAsia="zh-CN" w:bidi="ar"/>
        </w:rPr>
        <w:t>县行政审批局</w:t>
      </w:r>
      <w:r>
        <w:rPr>
          <w:rFonts w:hint="default" w:ascii="Times New Roman" w:hAnsi="Times New Roman" w:eastAsia="方正楷体_GBK" w:cs="Times New Roman"/>
          <w:color w:val="000000"/>
          <w:sz w:val="32"/>
          <w:szCs w:val="24"/>
          <w:lang w:bidi="ar"/>
        </w:rPr>
        <w:t>）</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黑体" w:cs="Times New Roman"/>
          <w:color w:val="000000"/>
          <w:sz w:val="32"/>
          <w:szCs w:val="32"/>
          <w:lang w:bidi="ar"/>
        </w:rPr>
      </w:pPr>
      <w:r>
        <w:rPr>
          <w:rFonts w:hint="default" w:ascii="Times New Roman" w:hAnsi="Times New Roman" w:eastAsia="黑体" w:cs="Times New Roman"/>
          <w:color w:val="000000"/>
          <w:sz w:val="32"/>
          <w:szCs w:val="32"/>
          <w:lang w:bidi="ar"/>
        </w:rPr>
        <w:t>四、支持重点行业恢复发展</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20</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32"/>
          <w:lang w:bidi="ar"/>
        </w:rPr>
        <w:t>科学精准抓好常态化疫情防控工作，强化餐饮行业现场核查指导和日常监管巡查，推动餐饮单位落实</w:t>
      </w:r>
      <w:r>
        <w:rPr>
          <w:rFonts w:hint="default" w:ascii="Times New Roman" w:hAnsi="Times New Roman" w:eastAsia="仿宋_GB2312" w:cs="Times New Roman"/>
          <w:color w:val="000000"/>
          <w:sz w:val="32"/>
          <w:szCs w:val="32"/>
          <w:lang w:eastAsia="zh-CN" w:bidi="ar"/>
        </w:rPr>
        <w:t>食品安全和</w:t>
      </w:r>
      <w:r>
        <w:rPr>
          <w:rFonts w:hint="default" w:ascii="Times New Roman" w:hAnsi="Times New Roman" w:eastAsia="仿宋_GB2312" w:cs="Times New Roman"/>
          <w:color w:val="000000"/>
          <w:sz w:val="32"/>
          <w:szCs w:val="32"/>
          <w:lang w:bidi="ar"/>
        </w:rPr>
        <w:t>疫情防控措施</w:t>
      </w:r>
      <w:r>
        <w:rPr>
          <w:rFonts w:hint="default" w:ascii="Times New Roman" w:hAnsi="Times New Roman" w:eastAsia="仿宋_GB2312" w:cs="Times New Roman"/>
          <w:color w:val="000000"/>
          <w:sz w:val="32"/>
          <w:szCs w:val="32"/>
          <w:lang w:eastAsia="zh-CN" w:bidi="ar"/>
        </w:rPr>
        <w:t>，</w:t>
      </w:r>
      <w:r>
        <w:rPr>
          <w:rFonts w:hint="default" w:ascii="Times New Roman" w:hAnsi="Times New Roman" w:eastAsia="仿宋_GB2312" w:cs="Times New Roman"/>
          <w:color w:val="000000"/>
          <w:sz w:val="32"/>
          <w:szCs w:val="24"/>
          <w:lang w:bidi="ar"/>
        </w:rPr>
        <w:t>实行分区分级精细化管理。鼓励餐饮企业推出夜间消费套餐，外卖送餐服务，促进餐饮业恢复发展。在确保交通安全的情况下，放开夜间非高峰期占道停车，在符合条件的餐饮市场周边路段设置夜间限时停车泊位。</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商务局、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公安局、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市场监管局、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卫健委）</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21</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支持</w:t>
      </w:r>
      <w:r>
        <w:rPr>
          <w:rFonts w:hint="default" w:ascii="Times New Roman" w:hAnsi="Times New Roman" w:eastAsia="仿宋_GB2312" w:cs="Times New Roman"/>
          <w:color w:val="000000"/>
          <w:sz w:val="32"/>
          <w:szCs w:val="24"/>
          <w:lang w:eastAsia="zh-CN" w:bidi="ar"/>
        </w:rPr>
        <w:t>并服务好</w:t>
      </w:r>
      <w:r>
        <w:rPr>
          <w:rFonts w:hint="default" w:ascii="Times New Roman" w:hAnsi="Times New Roman" w:eastAsia="仿宋_GB2312" w:cs="Times New Roman"/>
          <w:color w:val="000000"/>
          <w:sz w:val="32"/>
          <w:szCs w:val="24"/>
          <w:lang w:bidi="ar"/>
        </w:rPr>
        <w:t>旅游市场主体积极向上争取，用好用足省、市扶持奖励资金，帮助符合条件的项目申请省旅游产业发展基金项目贴息，帮助乡村旅游企业申报乡旅E贷。</w:t>
      </w:r>
      <w:r>
        <w:rPr>
          <w:rFonts w:hint="default" w:ascii="Times New Roman" w:hAnsi="Times New Roman" w:eastAsia="仿宋_GB2312" w:cs="Times New Roman"/>
          <w:sz w:val="32"/>
          <w:szCs w:val="24"/>
          <w:lang w:eastAsia="zh-CN" w:bidi="ar"/>
        </w:rPr>
        <w:t>加强与市级部门对接，对旅行社办理旅游服务质量保证金暂退手续予以指导。</w:t>
      </w:r>
      <w:r>
        <w:rPr>
          <w:rFonts w:hint="default" w:ascii="Times New Roman" w:hAnsi="Times New Roman" w:eastAsia="仿宋_GB2312" w:cs="Times New Roman"/>
          <w:color w:val="000000"/>
          <w:sz w:val="32"/>
          <w:szCs w:val="24"/>
          <w:lang w:bidi="ar"/>
        </w:rPr>
        <w:t>鼓励文旅企业开展各类促销活动。</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文广旅游局、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22</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加强工会与文广旅游局合作，将符合条件的度假区、A级景区、乡村旅游重点村（含原星级乡村旅游区）、工业旅游区等纳入</w:t>
      </w:r>
      <w:r>
        <w:rPr>
          <w:rFonts w:hint="default" w:ascii="Times New Roman" w:hAnsi="Times New Roman" w:eastAsia="仿宋_GB2312" w:cs="Times New Roman"/>
          <w:color w:val="000000"/>
          <w:sz w:val="32"/>
          <w:szCs w:val="24"/>
          <w:lang w:eastAsia="zh-CN" w:bidi="ar"/>
        </w:rPr>
        <w:t>职工</w:t>
      </w:r>
      <w:r>
        <w:rPr>
          <w:rFonts w:hint="default" w:ascii="Times New Roman" w:hAnsi="Times New Roman" w:eastAsia="仿宋_GB2312" w:cs="Times New Roman"/>
          <w:color w:val="000000"/>
          <w:sz w:val="32"/>
          <w:szCs w:val="24"/>
          <w:lang w:bidi="ar"/>
        </w:rPr>
        <w:t>疗休养活动范围，开发形式多样、内容丰富、符合政策的路线和产品。支持旅行社为行政事业单位和社会团体组织的会议、展览、差旅、培训、调研等公务活动以及各级各类学校组织的研学活动提供服务。</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总工会、</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文广旅游局、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cs="Times New Roman"/>
          <w:color w:val="000000"/>
          <w:sz w:val="32"/>
          <w:szCs w:val="24"/>
          <w:lang w:bidi="ar"/>
        </w:rPr>
      </w:pPr>
      <w:r>
        <w:rPr>
          <w:rFonts w:hint="default" w:ascii="Times New Roman" w:hAnsi="Times New Roman" w:cs="Times New Roman"/>
          <w:color w:val="000000"/>
          <w:sz w:val="32"/>
          <w:szCs w:val="24"/>
          <w:lang w:eastAsia="zh-CN" w:bidi="ar"/>
        </w:rPr>
        <w:t>23</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32"/>
          <w:lang w:bidi="ar"/>
        </w:rPr>
        <w:t>利用现有汽车客运站售票厅、候车大厅、站前广场等空间，拓展汽车销售与租赁、家具销售、旅游集散等功能，在规划高铁客运枢纽集有</w:t>
      </w:r>
      <w:r>
        <w:rPr>
          <w:rFonts w:hint="default" w:ascii="Times New Roman" w:hAnsi="Times New Roman" w:eastAsia="仿宋_GB2312" w:cs="Times New Roman"/>
          <w:color w:val="000000"/>
          <w:sz w:val="32"/>
          <w:szCs w:val="32"/>
          <w:lang w:eastAsia="zh-CN" w:bidi="ar"/>
        </w:rPr>
        <w:t>上述功能</w:t>
      </w:r>
      <w:r>
        <w:rPr>
          <w:rFonts w:hint="default" w:ascii="Times New Roman" w:hAnsi="Times New Roman" w:eastAsia="仿宋_GB2312" w:cs="Times New Roman"/>
          <w:color w:val="000000"/>
          <w:sz w:val="32"/>
          <w:szCs w:val="32"/>
          <w:lang w:bidi="ar"/>
        </w:rPr>
        <w:t>。</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县交通局</w:t>
      </w:r>
      <w:r>
        <w:rPr>
          <w:rFonts w:hint="default" w:ascii="Times New Roman" w:hAnsi="Times New Roman" w:eastAsia="方正楷体_GBK" w:cs="Times New Roman"/>
          <w:color w:val="000000"/>
          <w:sz w:val="32"/>
          <w:szCs w:val="24"/>
          <w:lang w:bidi="ar"/>
        </w:rPr>
        <w:t>、</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文广旅游局、</w:t>
      </w:r>
      <w:r>
        <w:rPr>
          <w:rFonts w:hint="default" w:ascii="Times New Roman" w:hAnsi="Times New Roman" w:eastAsia="方正楷体_GBK" w:cs="Times New Roman"/>
          <w:color w:val="000000"/>
          <w:sz w:val="32"/>
          <w:szCs w:val="24"/>
          <w:lang w:eastAsia="zh-CN" w:bidi="ar"/>
        </w:rPr>
        <w:t>县商务</w:t>
      </w:r>
      <w:r>
        <w:rPr>
          <w:rFonts w:hint="default" w:ascii="Times New Roman" w:hAnsi="Times New Roman" w:eastAsia="方正楷体_GBK" w:cs="Times New Roman"/>
          <w:color w:val="000000"/>
          <w:sz w:val="32"/>
          <w:szCs w:val="24"/>
          <w:lang w:bidi="ar"/>
        </w:rPr>
        <w:t>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2</w:t>
      </w:r>
      <w:r>
        <w:rPr>
          <w:rFonts w:hint="default" w:ascii="Times New Roman" w:hAnsi="Times New Roman" w:cs="Times New Roman"/>
          <w:color w:val="000000"/>
          <w:sz w:val="32"/>
          <w:szCs w:val="24"/>
          <w:lang w:eastAsia="zh-CN" w:bidi="ar"/>
        </w:rPr>
        <w:t>4</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加大以保险、保函替代现金缴纳保证金的推进力度。在充分尊重企业自主选择权的前提下，贯彻落实《关于推进房屋建筑和市政基础设施工程实行担保制度的指导意见》（淮住建发〔2020〕123号），推动建筑等领域保证金保函全覆盖。在充分尊重企业自主选择权的前提下，工程质量保证金管理实行鼓励采用银行保函、保险公司保险单等替代现金方式的担保。</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住建局）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25</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积极争取省级商务发展资金，</w:t>
      </w:r>
      <w:r>
        <w:rPr>
          <w:rFonts w:hint="default" w:ascii="Times New Roman" w:hAnsi="Times New Roman" w:eastAsia="仿宋_GB2312" w:cs="Times New Roman"/>
          <w:color w:val="000000"/>
          <w:sz w:val="32"/>
          <w:szCs w:val="24"/>
          <w:lang w:eastAsia="zh-CN" w:bidi="ar"/>
        </w:rPr>
        <w:t>开展2022年第二届金湖消费季促消费活动，同时对参与消费季活动并取得成效的规上贸易企业给予适当激励。“一县一特”促消费活动1场次以上。选取6家餐饮单位参加市“美食之都示范店、特色店”评选</w:t>
      </w:r>
      <w:r>
        <w:rPr>
          <w:rFonts w:hint="default" w:ascii="Times New Roman" w:hAnsi="Times New Roman" w:eastAsia="仿宋_GB2312" w:cs="Times New Roman"/>
          <w:color w:val="000000"/>
          <w:sz w:val="32"/>
          <w:szCs w:val="24"/>
          <w:lang w:bidi="ar"/>
        </w:rPr>
        <w:t>。</w:t>
      </w:r>
      <w:r>
        <w:rPr>
          <w:rFonts w:hint="default" w:ascii="Times New Roman" w:hAnsi="Times New Roman" w:eastAsia="仿宋_GB2312" w:cs="Times New Roman"/>
          <w:color w:val="000000"/>
          <w:sz w:val="32"/>
          <w:szCs w:val="24"/>
          <w:lang w:eastAsia="zh-CN" w:bidi="ar"/>
        </w:rPr>
        <w:t>打造金湖电商产业集聚区，融入农产品网货基地建设。</w:t>
      </w:r>
      <w:r>
        <w:rPr>
          <w:rFonts w:hint="default" w:ascii="Times New Roman" w:hAnsi="Times New Roman" w:eastAsia="仿宋_GB2312" w:cs="Times New Roman"/>
          <w:color w:val="000000"/>
          <w:sz w:val="32"/>
          <w:szCs w:val="24"/>
          <w:lang w:bidi="ar"/>
        </w:rPr>
        <w:t>按要求开展新能源汽车、绿色智能家电下乡活动，通过企业让利、降低首付比例等方式，促进农村居民消费。鼓励充电桩建设运营企业加大镇</w:t>
      </w:r>
      <w:r>
        <w:rPr>
          <w:rFonts w:hint="default" w:ascii="Times New Roman" w:hAnsi="Times New Roman" w:eastAsia="仿宋_GB2312" w:cs="Times New Roman"/>
          <w:color w:val="000000"/>
          <w:sz w:val="32"/>
          <w:szCs w:val="24"/>
          <w:lang w:eastAsia="zh-CN" w:bidi="ar"/>
        </w:rPr>
        <w:t>（街）</w:t>
      </w:r>
      <w:r>
        <w:rPr>
          <w:rFonts w:hint="default" w:ascii="Times New Roman" w:hAnsi="Times New Roman" w:eastAsia="仿宋_GB2312" w:cs="Times New Roman"/>
          <w:color w:val="000000"/>
          <w:sz w:val="32"/>
          <w:szCs w:val="24"/>
          <w:lang w:bidi="ar"/>
        </w:rPr>
        <w:t>充电设施建设力度。</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商务局、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工信局）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黑体" w:cs="Times New Roman"/>
          <w:color w:val="000000"/>
          <w:sz w:val="32"/>
          <w:szCs w:val="32"/>
          <w:lang w:bidi="ar"/>
        </w:rPr>
      </w:pPr>
      <w:r>
        <w:rPr>
          <w:rFonts w:hint="default" w:ascii="Times New Roman" w:hAnsi="Times New Roman" w:eastAsia="黑体" w:cs="Times New Roman"/>
          <w:color w:val="000000"/>
          <w:sz w:val="32"/>
          <w:szCs w:val="32"/>
          <w:lang w:bidi="ar"/>
        </w:rPr>
        <w:t>五、帮扶外贸企业保市场</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shd w:val="clear" w:color="auto" w:fill="FFFFFF"/>
          <w:lang w:eastAsia="zh-CN" w:bidi="ar"/>
        </w:rPr>
        <w:t>26</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了解我县外贸企业展会需求，</w:t>
      </w:r>
      <w:r>
        <w:rPr>
          <w:rFonts w:hint="default" w:ascii="Times New Roman" w:hAnsi="Times New Roman" w:eastAsia="仿宋_GB2312" w:cs="Times New Roman"/>
          <w:color w:val="000000"/>
          <w:sz w:val="32"/>
          <w:szCs w:val="24"/>
          <w:lang w:eastAsia="zh-CN" w:bidi="ar"/>
        </w:rPr>
        <w:t>对照</w:t>
      </w:r>
      <w:r>
        <w:rPr>
          <w:rFonts w:hint="default" w:ascii="Times New Roman" w:hAnsi="Times New Roman" w:eastAsia="仿宋_GB2312" w:cs="Times New Roman"/>
          <w:color w:val="000000"/>
          <w:sz w:val="32"/>
          <w:szCs w:val="24"/>
          <w:lang w:bidi="ar"/>
        </w:rPr>
        <w:t>2022年度</w:t>
      </w:r>
      <w:r>
        <w:rPr>
          <w:rFonts w:hint="default" w:ascii="Times New Roman" w:hAnsi="Times New Roman" w:eastAsia="仿宋_GB2312" w:cs="Times New Roman"/>
          <w:color w:val="000000"/>
          <w:sz w:val="32"/>
          <w:szCs w:val="24"/>
          <w:lang w:eastAsia="zh-CN" w:bidi="ar"/>
        </w:rPr>
        <w:t>省市</w:t>
      </w:r>
      <w:r>
        <w:rPr>
          <w:rFonts w:hint="default" w:ascii="Times New Roman" w:hAnsi="Times New Roman" w:eastAsia="仿宋_GB2312" w:cs="Times New Roman"/>
          <w:color w:val="000000"/>
          <w:sz w:val="32"/>
          <w:szCs w:val="24"/>
          <w:lang w:bidi="ar"/>
        </w:rPr>
        <w:t>贸易促进计划，</w:t>
      </w:r>
      <w:r>
        <w:rPr>
          <w:rFonts w:hint="default" w:ascii="Times New Roman" w:hAnsi="Times New Roman" w:eastAsia="仿宋_GB2312" w:cs="Times New Roman"/>
          <w:color w:val="000000"/>
          <w:sz w:val="32"/>
          <w:szCs w:val="24"/>
          <w:lang w:eastAsia="zh-CN" w:bidi="ar"/>
        </w:rPr>
        <w:t>分行业、分类别组织我县外贸企业</w:t>
      </w:r>
      <w:r>
        <w:rPr>
          <w:rFonts w:hint="default" w:ascii="Times New Roman" w:hAnsi="Times New Roman" w:eastAsia="仿宋_GB2312" w:cs="Times New Roman"/>
          <w:color w:val="000000"/>
          <w:sz w:val="32"/>
          <w:szCs w:val="24"/>
          <w:lang w:bidi="ar"/>
        </w:rPr>
        <w:t>参加</w:t>
      </w:r>
      <w:r>
        <w:rPr>
          <w:rFonts w:hint="default" w:ascii="Times New Roman" w:hAnsi="Times New Roman" w:eastAsia="仿宋_GB2312" w:cs="Times New Roman"/>
          <w:color w:val="000000"/>
          <w:sz w:val="32"/>
          <w:szCs w:val="32"/>
          <w:lang w:bidi="ar"/>
        </w:rPr>
        <w:t>“江苏优品·畅行全球”“苏新服务·智惠全球”</w:t>
      </w:r>
      <w:r>
        <w:rPr>
          <w:rFonts w:hint="default" w:ascii="Times New Roman" w:hAnsi="Times New Roman" w:eastAsia="仿宋_GB2312" w:cs="Times New Roman"/>
          <w:color w:val="000000"/>
          <w:sz w:val="32"/>
          <w:szCs w:val="24"/>
          <w:lang w:bidi="ar"/>
        </w:rPr>
        <w:t>等线上活动。对列入贸易促进计划的重点展会、跨境电商展会</w:t>
      </w:r>
      <w:r>
        <w:rPr>
          <w:rFonts w:hint="default" w:ascii="Times New Roman" w:hAnsi="Times New Roman" w:eastAsia="仿宋_GB2312" w:cs="Times New Roman"/>
          <w:color w:val="000000"/>
          <w:sz w:val="32"/>
          <w:szCs w:val="24"/>
          <w:lang w:eastAsia="zh-CN" w:bidi="ar"/>
        </w:rPr>
        <w:t>以及符合市要求的展会，积极帮助企业争取展会扶持资金。加大外贸政策宣传力度，积极争取省市政策和外贸项目支持。</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商务局、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shd w:val="clear" w:color="auto" w:fill="FFFFFF"/>
          <w:lang w:eastAsia="zh-CN" w:bidi="ar"/>
        </w:rPr>
        <w:t>27</w:t>
      </w:r>
      <w:r>
        <w:rPr>
          <w:rFonts w:hint="default" w:ascii="Times New Roman" w:hAnsi="Times New Roman" w:cs="Times New Roman"/>
          <w:color w:val="000000"/>
          <w:sz w:val="32"/>
          <w:szCs w:val="24"/>
          <w:shd w:val="clear" w:color="auto" w:fill="FFFFFF"/>
          <w:lang w:val="en-US" w:eastAsia="zh-CN" w:bidi="ar"/>
        </w:rPr>
        <w:t>.</w:t>
      </w:r>
      <w:r>
        <w:rPr>
          <w:rFonts w:hint="default" w:ascii="Times New Roman" w:hAnsi="Times New Roman" w:eastAsia="仿宋_GB2312" w:cs="Times New Roman"/>
          <w:color w:val="000000"/>
          <w:sz w:val="32"/>
          <w:szCs w:val="24"/>
          <w:shd w:val="clear" w:color="auto" w:fill="FFFFFF"/>
          <w:lang w:eastAsia="zh-CN" w:bidi="ar"/>
        </w:rPr>
        <w:t>规划金湖港口产业园。金湖临港产业园，配套仓储、加工、多式联运等功能，打造区域性公水联运中心；打造淮安内河集装箱最重要的辅助港口。大力宣传淮安市内河集装箱发展扶持政策、淮安港至上海港外贸航线补贴政策。促进金湖县外贸企业与淮安新港合作，推进</w:t>
      </w:r>
      <w:r>
        <w:rPr>
          <w:rFonts w:hint="default" w:ascii="Times New Roman" w:hAnsi="Times New Roman" w:eastAsia="仿宋_GB2312" w:cs="Times New Roman"/>
          <w:color w:val="000000"/>
          <w:sz w:val="32"/>
          <w:szCs w:val="32"/>
          <w:shd w:val="clear" w:color="auto" w:fill="FFFFFF"/>
          <w:lang w:eastAsia="zh-CN" w:bidi="ar"/>
        </w:rPr>
        <w:t>“海河联动、沪淮同城”</w:t>
      </w:r>
      <w:r>
        <w:rPr>
          <w:rFonts w:hint="default" w:ascii="Times New Roman" w:hAnsi="Times New Roman" w:eastAsia="仿宋_GB2312" w:cs="Times New Roman"/>
          <w:color w:val="000000"/>
          <w:sz w:val="32"/>
          <w:szCs w:val="24"/>
          <w:shd w:val="clear" w:color="auto" w:fill="FFFFFF"/>
          <w:lang w:eastAsia="zh-CN" w:bidi="ar"/>
        </w:rPr>
        <w:t>合作，通过扩大多式联运模式效能，助力外贸企业通关物流降本增效。积极争取市外贸物流政策扶持。</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县交通局、县财政局、县商务局</w:t>
      </w:r>
      <w:r>
        <w:rPr>
          <w:rFonts w:hint="default" w:ascii="Times New Roman" w:hAnsi="Times New Roman" w:eastAsia="方正楷体_GBK" w:cs="Times New Roman"/>
          <w:color w:val="000000"/>
          <w:sz w:val="32"/>
          <w:szCs w:val="24"/>
          <w:lang w:bidi="ar"/>
        </w:rPr>
        <w:t>）</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shd w:val="clear" w:color="auto" w:fill="FFFFFF"/>
          <w:lang w:eastAsia="zh-CN" w:bidi="ar"/>
        </w:rPr>
        <w:t>28</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eastAsia="zh-CN" w:bidi="ar"/>
        </w:rPr>
        <w:t>对经技改备案，当年内购置并完成安装的生产性新设备，按照拟出台</w:t>
      </w:r>
      <w:bookmarkStart w:id="0" w:name="_Hlk102228788"/>
      <w:r>
        <w:rPr>
          <w:rFonts w:hint="default" w:ascii="Times New Roman" w:hAnsi="Times New Roman" w:eastAsia="仿宋_GB2312" w:cs="Times New Roman"/>
          <w:color w:val="000000"/>
          <w:sz w:val="32"/>
          <w:szCs w:val="24"/>
          <w:lang w:eastAsia="zh-CN" w:bidi="ar"/>
        </w:rPr>
        <w:t>《金湖县制造业高质量发展专项资金》</w:t>
      </w:r>
      <w:bookmarkEnd w:id="0"/>
      <w:r>
        <w:rPr>
          <w:rFonts w:hint="default" w:ascii="Times New Roman" w:hAnsi="Times New Roman" w:eastAsia="仿宋_GB2312" w:cs="Times New Roman"/>
          <w:color w:val="000000"/>
          <w:sz w:val="32"/>
          <w:szCs w:val="24"/>
          <w:lang w:eastAsia="zh-CN" w:bidi="ar"/>
        </w:rPr>
        <w:t>中的标准进行补助</w:t>
      </w:r>
      <w:r>
        <w:rPr>
          <w:rFonts w:hint="default" w:ascii="Times New Roman" w:hAnsi="Times New Roman" w:eastAsia="仿宋_GB2312" w:cs="Times New Roman"/>
          <w:color w:val="000000"/>
          <w:sz w:val="32"/>
          <w:szCs w:val="24"/>
          <w:lang w:bidi="ar"/>
        </w:rPr>
        <w:t>。鼓励金融机构为加工贸易企业提供无抵押优惠利率贷款</w:t>
      </w:r>
      <w:r>
        <w:rPr>
          <w:rFonts w:hint="default" w:ascii="Times New Roman" w:hAnsi="Times New Roman" w:eastAsia="仿宋_GB2312" w:cs="Times New Roman"/>
          <w:color w:val="000000"/>
          <w:sz w:val="32"/>
          <w:szCs w:val="24"/>
          <w:lang w:eastAsia="zh-CN" w:bidi="ar"/>
        </w:rPr>
        <w:t>，</w:t>
      </w:r>
      <w:r>
        <w:rPr>
          <w:rFonts w:hint="default" w:ascii="Times New Roman" w:hAnsi="Times New Roman" w:eastAsia="仿宋_GB2312" w:cs="Times New Roman"/>
          <w:color w:val="000000"/>
          <w:sz w:val="32"/>
          <w:szCs w:val="24"/>
          <w:lang w:bidi="ar"/>
        </w:rPr>
        <w:t>推动重点外贸企业建立“一企一档一册”。组织外贸企业参加境内行业类展会</w:t>
      </w:r>
      <w:r>
        <w:rPr>
          <w:rFonts w:hint="default" w:ascii="Times New Roman" w:hAnsi="Times New Roman" w:eastAsia="仿宋_GB2312" w:cs="Times New Roman"/>
          <w:color w:val="000000"/>
          <w:sz w:val="32"/>
          <w:szCs w:val="24"/>
          <w:lang w:eastAsia="zh-CN" w:bidi="ar"/>
        </w:rPr>
        <w:t>。鼓励我县外贸企业充分利用阿里、亚马逊等电商平台拓展外贸业务。组织企业开展电商业务培训，培养电商人才。积极争取电商扶持政策</w:t>
      </w:r>
      <w:r>
        <w:rPr>
          <w:rFonts w:hint="default" w:ascii="Times New Roman" w:hAnsi="Times New Roman" w:eastAsia="仿宋_GB2312" w:cs="Times New Roman"/>
          <w:color w:val="000000"/>
          <w:sz w:val="32"/>
          <w:szCs w:val="24"/>
          <w:lang w:bidi="ar"/>
        </w:rPr>
        <w:t>引导外贸企业与大型电商平台合作，拓展国内市场销售渠道。</w:t>
      </w:r>
      <w:r>
        <w:rPr>
          <w:rFonts w:hint="default" w:ascii="Times New Roman" w:hAnsi="Times New Roman" w:eastAsia="方正楷体_GBK" w:cs="Times New Roman"/>
          <w:color w:val="000000"/>
          <w:sz w:val="32"/>
          <w:szCs w:val="24"/>
          <w:lang w:bidi="ar"/>
        </w:rPr>
        <w:t>（责任单位：县工信局、人民银行金湖县支行、</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商务局、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财政局）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cs="Times New Roman"/>
          <w:color w:val="000000"/>
          <w:sz w:val="32"/>
          <w:szCs w:val="24"/>
          <w:lang w:bidi="ar"/>
        </w:rPr>
      </w:pPr>
      <w:r>
        <w:rPr>
          <w:rFonts w:hint="default" w:ascii="Times New Roman" w:hAnsi="Times New Roman" w:cs="Times New Roman"/>
          <w:color w:val="000000"/>
          <w:sz w:val="32"/>
          <w:szCs w:val="24"/>
          <w:lang w:bidi="ar"/>
        </w:rPr>
        <w:t>2</w:t>
      </w:r>
      <w:r>
        <w:rPr>
          <w:rFonts w:hint="default" w:ascii="Times New Roman" w:hAnsi="Times New Roman" w:cs="Times New Roman"/>
          <w:color w:val="000000"/>
          <w:sz w:val="32"/>
          <w:szCs w:val="24"/>
          <w:lang w:eastAsia="zh-CN" w:bidi="ar"/>
        </w:rPr>
        <w:t>9</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32"/>
          <w:lang w:eastAsia="zh-CN" w:bidi="ar"/>
        </w:rPr>
        <w:t>持续宣传出口信保政策，提高企业参保意识。对接省市统保平台，积极组织符合条件的企业加入省市统保平台。积极争取省市出口信保扶持项目，对符合要求的项目，给予一定资金支持。</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商务局</w:t>
      </w:r>
      <w:r>
        <w:rPr>
          <w:rFonts w:hint="default" w:ascii="Times New Roman" w:hAnsi="Times New Roman" w:eastAsia="方正楷体_GBK" w:cs="Times New Roman"/>
          <w:color w:val="000000"/>
          <w:sz w:val="32"/>
          <w:szCs w:val="24"/>
          <w:lang w:eastAsia="zh-CN" w:bidi="ar"/>
        </w:rPr>
        <w:t>、县财政局、</w:t>
      </w:r>
      <w:r>
        <w:rPr>
          <w:rFonts w:hint="default" w:ascii="Times New Roman" w:hAnsi="Times New Roman" w:eastAsia="方正楷体_GBK" w:cs="Times New Roman"/>
          <w:color w:val="000000"/>
          <w:sz w:val="32"/>
          <w:szCs w:val="24"/>
          <w:lang w:bidi="ar"/>
        </w:rPr>
        <w:t>县金融管理服务中心）</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30</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持续宣传RCEP政策，引导企业充分利用RCEP开展拓展外贸业务。根据市</w:t>
      </w:r>
      <w:r>
        <w:rPr>
          <w:rFonts w:hint="eastAsia" w:ascii="Times New Roman" w:hAnsi="Times New Roman" w:eastAsia="仿宋_GB2312" w:cs="Times New Roman"/>
          <w:color w:val="000000"/>
          <w:sz w:val="32"/>
          <w:szCs w:val="24"/>
          <w:lang w:val="en-US" w:eastAsia="zh-CN" w:bidi="ar"/>
        </w:rPr>
        <w:t>商务</w:t>
      </w:r>
      <w:r>
        <w:rPr>
          <w:rFonts w:hint="default" w:ascii="Times New Roman" w:hAnsi="Times New Roman" w:eastAsia="仿宋_GB2312" w:cs="Times New Roman"/>
          <w:color w:val="000000"/>
          <w:sz w:val="32"/>
          <w:szCs w:val="24"/>
          <w:lang w:bidi="ar"/>
        </w:rPr>
        <w:t>局安排，积极组织我县外贸企业参加RCEP政策业务培训。对接市贸促会，为企业提供RCEP政策解读、贸易预警、实操指南等信息，以及RCEP等自贸协定项下优惠原产地证书、货物暂准进口通关（ATA</w:t>
      </w:r>
      <w:r>
        <w:rPr>
          <w:rFonts w:hint="eastAsia" w:ascii="Times New Roman" w:hAnsi="Times New Roman" w:eastAsia="仿宋_GB2312" w:cs="Times New Roman"/>
          <w:color w:val="000000"/>
          <w:sz w:val="32"/>
          <w:szCs w:val="24"/>
          <w:lang w:eastAsia="zh-CN" w:bidi="ar"/>
        </w:rPr>
        <w:t>）</w:t>
      </w:r>
      <w:r>
        <w:rPr>
          <w:rFonts w:hint="default" w:ascii="Times New Roman" w:hAnsi="Times New Roman" w:eastAsia="仿宋_GB2312" w:cs="Times New Roman"/>
          <w:color w:val="000000"/>
          <w:sz w:val="32"/>
          <w:szCs w:val="24"/>
          <w:lang w:bidi="ar"/>
        </w:rPr>
        <w:t>单证册、国际商事证明书和代办领事认证等服务。</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商务局）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黑体" w:cs="Times New Roman"/>
          <w:color w:val="000000"/>
          <w:sz w:val="32"/>
          <w:szCs w:val="32"/>
          <w:lang w:bidi="ar"/>
        </w:rPr>
      </w:pPr>
      <w:r>
        <w:rPr>
          <w:rFonts w:hint="default" w:ascii="Times New Roman" w:hAnsi="Times New Roman" w:eastAsia="黑体" w:cs="Times New Roman"/>
          <w:color w:val="000000"/>
          <w:sz w:val="32"/>
          <w:szCs w:val="32"/>
          <w:lang w:bidi="ar"/>
        </w:rPr>
        <w:t>六、稳定市场价格秩序</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31</w:t>
      </w:r>
      <w:r>
        <w:rPr>
          <w:rFonts w:hint="default" w:ascii="Times New Roman" w:hAnsi="Times New Roman" w:eastAsia="仿宋_GB2312"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加强对重点领域、重点商品、大宗商品等价格行为监督管理，严厉打击串通涨价、哄抬价格、发布虚假价格信息等违法违规行为。推动行业协会、大型企业搭建重点行业产业链供需对接平台，加强原材料保供对接服务，帮助中小微企业应对采购、销售、仓储等经营风险。</w:t>
      </w:r>
      <w:r>
        <w:rPr>
          <w:rFonts w:hint="default" w:ascii="Times New Roman" w:hAnsi="Times New Roman" w:eastAsia="仿宋_GB2312" w:cs="Times New Roman"/>
          <w:color w:val="000000"/>
          <w:sz w:val="32"/>
          <w:szCs w:val="24"/>
          <w:lang w:eastAsia="zh-CN" w:bidi="ar"/>
        </w:rPr>
        <w:t>加强涉企收费监督检查，规范涉企收费行为，减轻企业付费负担。加强</w:t>
      </w:r>
      <w:r>
        <w:rPr>
          <w:rFonts w:hint="default" w:ascii="Times New Roman" w:hAnsi="Times New Roman" w:eastAsia="仿宋_GB2312" w:cs="Times New Roman"/>
          <w:color w:val="000000"/>
          <w:sz w:val="32"/>
          <w:szCs w:val="24"/>
          <w:lang w:bidi="ar"/>
        </w:rPr>
        <w:t>物流企业与工业企业对接</w:t>
      </w:r>
      <w:r>
        <w:rPr>
          <w:rFonts w:hint="default" w:ascii="Times New Roman" w:hAnsi="Times New Roman" w:eastAsia="仿宋_GB2312" w:cs="Times New Roman"/>
          <w:color w:val="000000"/>
          <w:sz w:val="32"/>
          <w:szCs w:val="24"/>
          <w:lang w:eastAsia="zh-CN" w:bidi="ar"/>
        </w:rPr>
        <w:t>。</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发改委、</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工信局、</w:t>
      </w:r>
      <w:r>
        <w:rPr>
          <w:rFonts w:hint="default" w:ascii="Times New Roman" w:hAnsi="Times New Roman" w:eastAsia="方正楷体_GBK" w:cs="Times New Roman"/>
          <w:color w:val="000000"/>
          <w:sz w:val="32"/>
          <w:szCs w:val="24"/>
          <w:lang w:eastAsia="zh-CN" w:bidi="ar"/>
        </w:rPr>
        <w:t>县交通局、县</w:t>
      </w:r>
      <w:r>
        <w:rPr>
          <w:rFonts w:hint="default" w:ascii="Times New Roman" w:hAnsi="Times New Roman" w:eastAsia="方正楷体_GBK" w:cs="Times New Roman"/>
          <w:color w:val="000000"/>
          <w:sz w:val="32"/>
          <w:szCs w:val="24"/>
          <w:lang w:bidi="ar"/>
        </w:rPr>
        <w:t>市场监管局）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黑体" w:cs="Times New Roman"/>
          <w:color w:val="000000"/>
          <w:sz w:val="32"/>
          <w:szCs w:val="32"/>
          <w:lang w:bidi="ar"/>
        </w:rPr>
      </w:pPr>
      <w:r>
        <w:rPr>
          <w:rFonts w:hint="default" w:ascii="Times New Roman" w:hAnsi="Times New Roman" w:eastAsia="黑体" w:cs="Times New Roman"/>
          <w:color w:val="000000"/>
          <w:sz w:val="32"/>
          <w:szCs w:val="32"/>
          <w:lang w:bidi="ar"/>
        </w:rPr>
        <w:t>七、发挥政府采购支持作用</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32</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落实履约保证金保险、小微企业报价10%扣除等政策，支持中小微企业参与政府采购。全面取消政府采购投标保证金。实现政府采购全流程电子化操作。落实采购人应当在政府采购合同中约定预付款的时间和比例、收到中标通知书15日内签订采购合同。推动</w:t>
      </w:r>
      <w:r>
        <w:rPr>
          <w:rFonts w:hint="default" w:ascii="Times New Roman" w:hAnsi="Times New Roman" w:eastAsia="仿宋_GB2312" w:cs="Times New Roman"/>
          <w:color w:val="000000"/>
          <w:sz w:val="32"/>
          <w:szCs w:val="32"/>
          <w:lang w:bidi="ar"/>
        </w:rPr>
        <w:t>“政采贷”</w:t>
      </w:r>
      <w:r>
        <w:rPr>
          <w:rFonts w:hint="default" w:ascii="Times New Roman" w:hAnsi="Times New Roman" w:eastAsia="仿宋_GB2312" w:cs="Times New Roman"/>
          <w:color w:val="000000"/>
          <w:sz w:val="32"/>
          <w:szCs w:val="24"/>
          <w:lang w:bidi="ar"/>
        </w:rPr>
        <w:t>扩面增量，全面开展</w:t>
      </w:r>
      <w:r>
        <w:rPr>
          <w:rFonts w:hint="default" w:ascii="Times New Roman" w:hAnsi="Times New Roman" w:eastAsia="仿宋_GB2312" w:cs="Times New Roman"/>
          <w:color w:val="000000"/>
          <w:sz w:val="32"/>
          <w:szCs w:val="32"/>
          <w:lang w:bidi="ar"/>
        </w:rPr>
        <w:t>“政采贷”</w:t>
      </w:r>
      <w:r>
        <w:rPr>
          <w:rFonts w:hint="default" w:ascii="Times New Roman" w:hAnsi="Times New Roman" w:eastAsia="仿宋_GB2312" w:cs="Times New Roman"/>
          <w:color w:val="000000"/>
          <w:sz w:val="32"/>
          <w:szCs w:val="24"/>
          <w:lang w:bidi="ar"/>
        </w:rPr>
        <w:t>线上融资，向中标、成交供应商提供无抵押、无担保的信用融资。</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县行政审批局、县</w:t>
      </w:r>
      <w:r>
        <w:rPr>
          <w:rFonts w:hint="default" w:ascii="Times New Roman" w:hAnsi="Times New Roman" w:eastAsia="方正楷体_GBK" w:cs="Times New Roman"/>
          <w:color w:val="000000"/>
          <w:sz w:val="32"/>
          <w:szCs w:val="24"/>
          <w:lang w:bidi="ar"/>
        </w:rPr>
        <w:t>财政局）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黑体" w:cs="Times New Roman"/>
          <w:color w:val="000000"/>
          <w:sz w:val="32"/>
          <w:szCs w:val="32"/>
          <w:lang w:bidi="ar"/>
        </w:rPr>
      </w:pPr>
      <w:r>
        <w:rPr>
          <w:rFonts w:hint="default" w:ascii="Times New Roman" w:hAnsi="Times New Roman" w:eastAsia="黑体" w:cs="Times New Roman"/>
          <w:color w:val="000000"/>
          <w:sz w:val="32"/>
          <w:szCs w:val="32"/>
          <w:lang w:bidi="ar"/>
        </w:rPr>
        <w:t>八、提升101%服务水平</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33</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在不改变土地出让合同约定前提下，支持符合条件的工业企业高标准厂房申请分幢办理不动产权证书。</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县自然资源</w:t>
      </w:r>
      <w:r>
        <w:rPr>
          <w:rFonts w:hint="default" w:ascii="Times New Roman" w:hAnsi="Times New Roman" w:eastAsia="方正楷体_GBK" w:cs="Times New Roman"/>
          <w:color w:val="000000"/>
          <w:sz w:val="32"/>
          <w:szCs w:val="24"/>
          <w:lang w:bidi="ar"/>
        </w:rPr>
        <w:t>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34</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制定公布禁设区域目录，目录以外不得限制经营。放宽</w:t>
      </w:r>
      <w:r>
        <w:rPr>
          <w:rFonts w:hint="default" w:ascii="Times New Roman" w:hAnsi="Times New Roman" w:eastAsia="仿宋_GB2312" w:cs="Times New Roman"/>
          <w:color w:val="000000"/>
          <w:sz w:val="32"/>
          <w:szCs w:val="32"/>
          <w:lang w:bidi="ar"/>
        </w:rPr>
        <w:t>“住改商”</w:t>
      </w:r>
      <w:r>
        <w:rPr>
          <w:rFonts w:hint="default" w:ascii="Times New Roman" w:hAnsi="Times New Roman" w:eastAsia="仿宋_GB2312" w:cs="Times New Roman"/>
          <w:color w:val="000000"/>
          <w:sz w:val="32"/>
          <w:szCs w:val="24"/>
          <w:lang w:bidi="ar"/>
        </w:rPr>
        <w:t>政策，简化办理流程。在政府指定场所和时间对销售农副产品、日常生活用品或个人利用自身技能从事依法无须取得许可的便民劳务活动个体经营者，予以豁免登记。</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县自然资源</w:t>
      </w:r>
      <w:r>
        <w:rPr>
          <w:rFonts w:hint="default" w:ascii="Times New Roman" w:hAnsi="Times New Roman" w:eastAsia="方正楷体_GBK" w:cs="Times New Roman"/>
          <w:color w:val="000000"/>
          <w:sz w:val="32"/>
          <w:szCs w:val="24"/>
          <w:lang w:bidi="ar"/>
        </w:rPr>
        <w:t>局、</w:t>
      </w:r>
      <w:r>
        <w:rPr>
          <w:rFonts w:hint="default" w:ascii="Times New Roman" w:hAnsi="Times New Roman" w:eastAsia="方正楷体_GBK" w:cs="Times New Roman"/>
          <w:color w:val="000000"/>
          <w:sz w:val="32"/>
          <w:szCs w:val="24"/>
          <w:lang w:eastAsia="zh-CN" w:bidi="ar"/>
        </w:rPr>
        <w:t>县行政审批局、县</w:t>
      </w:r>
      <w:r>
        <w:rPr>
          <w:rFonts w:hint="default" w:ascii="Times New Roman" w:hAnsi="Times New Roman" w:eastAsia="方正楷体_GBK" w:cs="Times New Roman"/>
          <w:color w:val="000000"/>
          <w:sz w:val="32"/>
          <w:szCs w:val="24"/>
          <w:lang w:bidi="ar"/>
        </w:rPr>
        <w:t>市场监管局）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35</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eastAsia="zh-CN" w:bidi="ar"/>
        </w:rPr>
        <w:t>在县市民中心设立电水气暖业务联合受理窗口，利用一体化政务服务平台，一次受理，多次分配，一次性完成现场查勘、验收、开通等受理服务。在县市民中心工程建设项目审批专区设置市政报装窗口，申报企业可通过工程建设项目第二、三阶段综合窗口并联申报办理，试行运用</w:t>
      </w:r>
      <w:r>
        <w:rPr>
          <w:rFonts w:hint="default" w:ascii="Times New Roman" w:hAnsi="Times New Roman" w:eastAsia="仿宋_GB2312" w:cs="Times New Roman"/>
          <w:color w:val="000000"/>
          <w:sz w:val="32"/>
          <w:szCs w:val="24"/>
          <w:lang w:bidi="ar"/>
        </w:rPr>
        <w:t>市电水气信视并联报装平台，对接一体化政务服务平台，为建设单位提供一表申请、一网通办、并联审批、限时办结服务。</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县行政</w:t>
      </w:r>
      <w:r>
        <w:rPr>
          <w:rFonts w:hint="default" w:ascii="Times New Roman" w:hAnsi="Times New Roman" w:eastAsia="方正楷体_GBK" w:cs="Times New Roman"/>
          <w:color w:val="000000"/>
          <w:sz w:val="32"/>
          <w:szCs w:val="24"/>
          <w:lang w:bidi="ar"/>
        </w:rPr>
        <w:t>审批局、</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住建局、国网金湖县供电公司）</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3</w:t>
      </w:r>
      <w:r>
        <w:rPr>
          <w:rFonts w:hint="default" w:ascii="Times New Roman" w:hAnsi="Times New Roman" w:cs="Times New Roman"/>
          <w:color w:val="000000"/>
          <w:sz w:val="32"/>
          <w:szCs w:val="24"/>
          <w:lang w:eastAsia="zh-CN" w:bidi="ar"/>
        </w:rPr>
        <w:t>6</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全面贯彻《行政处罚法》</w:t>
      </w:r>
      <w:r>
        <w:rPr>
          <w:rFonts w:hint="default" w:ascii="Times New Roman" w:hAnsi="Times New Roman" w:eastAsia="仿宋_GB2312" w:cs="Times New Roman"/>
          <w:color w:val="000000"/>
          <w:sz w:val="32"/>
          <w:szCs w:val="32"/>
          <w:lang w:bidi="ar"/>
        </w:rPr>
        <w:t>“首违不罚”</w:t>
      </w:r>
      <w:r>
        <w:rPr>
          <w:rFonts w:hint="default" w:ascii="Times New Roman" w:hAnsi="Times New Roman" w:eastAsia="仿宋_GB2312" w:cs="Times New Roman"/>
          <w:color w:val="000000"/>
          <w:sz w:val="32"/>
          <w:szCs w:val="24"/>
          <w:lang w:bidi="ar"/>
        </w:rPr>
        <w:t>规定，落实行政处罚事项</w:t>
      </w:r>
      <w:r>
        <w:rPr>
          <w:rFonts w:hint="default" w:ascii="Times New Roman" w:hAnsi="Times New Roman" w:eastAsia="仿宋_GB2312" w:cs="Times New Roman"/>
          <w:color w:val="000000"/>
          <w:sz w:val="32"/>
          <w:szCs w:val="32"/>
          <w:lang w:bidi="ar"/>
        </w:rPr>
        <w:t>“三张清单”</w:t>
      </w:r>
      <w:r>
        <w:rPr>
          <w:rFonts w:hint="default" w:ascii="Times New Roman" w:hAnsi="Times New Roman" w:eastAsia="仿宋_GB2312" w:cs="Times New Roman"/>
          <w:color w:val="000000"/>
          <w:sz w:val="32"/>
          <w:szCs w:val="24"/>
          <w:lang w:bidi="ar"/>
        </w:rPr>
        <w:t>制度，推进包容审慎柔性执法。制定部门联合抽查</w:t>
      </w:r>
      <w:r>
        <w:rPr>
          <w:rFonts w:hint="default" w:ascii="Times New Roman" w:hAnsi="Times New Roman" w:eastAsia="仿宋_GB2312" w:cs="Times New Roman"/>
          <w:color w:val="000000"/>
          <w:sz w:val="32"/>
          <w:szCs w:val="32"/>
          <w:lang w:bidi="ar"/>
        </w:rPr>
        <w:t>“双随机、一公开”指引，合理确定、动态调整抽查比例和频次。按照“三年全覆盖”</w:t>
      </w:r>
      <w:r>
        <w:rPr>
          <w:rFonts w:hint="default" w:ascii="Times New Roman" w:hAnsi="Times New Roman" w:eastAsia="仿宋_GB2312" w:cs="Times New Roman"/>
          <w:color w:val="000000"/>
          <w:sz w:val="32"/>
          <w:szCs w:val="24"/>
          <w:lang w:bidi="ar"/>
        </w:rPr>
        <w:t>要求，2022年全</w:t>
      </w:r>
      <w:r>
        <w:rPr>
          <w:rFonts w:hint="default" w:ascii="Times New Roman" w:hAnsi="Times New Roman" w:eastAsia="仿宋_GB2312" w:cs="Times New Roman"/>
          <w:color w:val="000000"/>
          <w:sz w:val="32"/>
          <w:szCs w:val="24"/>
          <w:lang w:eastAsia="zh-CN" w:bidi="ar"/>
        </w:rPr>
        <w:t>县</w:t>
      </w:r>
      <w:r>
        <w:rPr>
          <w:rFonts w:hint="default" w:ascii="Times New Roman" w:hAnsi="Times New Roman" w:eastAsia="仿宋_GB2312" w:cs="Times New Roman"/>
          <w:color w:val="000000"/>
          <w:sz w:val="32"/>
          <w:szCs w:val="24"/>
          <w:lang w:bidi="ar"/>
        </w:rPr>
        <w:t>零售药店监管覆盖率不低于35%。</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市场监管局）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3</w:t>
      </w:r>
      <w:r>
        <w:rPr>
          <w:rFonts w:hint="default" w:ascii="Times New Roman" w:hAnsi="Times New Roman" w:cs="Times New Roman"/>
          <w:color w:val="000000"/>
          <w:sz w:val="32"/>
          <w:szCs w:val="24"/>
          <w:lang w:eastAsia="zh-CN" w:bidi="ar"/>
        </w:rPr>
        <w:t>7</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制定年度安全生产监督检查计划，</w:t>
      </w:r>
      <w:r>
        <w:rPr>
          <w:rFonts w:hint="default" w:ascii="Times New Roman" w:hAnsi="Times New Roman" w:eastAsia="仿宋_GB2312" w:cs="Times New Roman"/>
          <w:color w:val="000000"/>
          <w:sz w:val="32"/>
          <w:szCs w:val="24"/>
          <w:lang w:eastAsia="zh-CN" w:bidi="ar"/>
        </w:rPr>
        <w:t>对辖区内安全培训机构每年进行一次监督检查，采用“双随机”抽查方式对辖区内加油站、危化品生产、储存和冶金等工矿商贸企业开展监督检查，全年计划抽查15家。依托省执法系统，精准确定执法对象、制定执法清单、规划执法区域、开展执法检查、实施行政处罚，全面推进“三位一体”执法模式，深化“1+N”联合执法，开展专业执法和深度执法，精准打击违法违规行为，提升事中事后监管效能。</w:t>
      </w:r>
      <w:r>
        <w:rPr>
          <w:rFonts w:hint="default" w:ascii="Times New Roman" w:hAnsi="Times New Roman" w:eastAsia="方正楷体_GBK" w:cs="Times New Roman"/>
          <w:color w:val="000000"/>
          <w:spacing w:val="-10"/>
          <w:sz w:val="32"/>
          <w:szCs w:val="24"/>
          <w:lang w:bidi="ar"/>
        </w:rPr>
        <w:t>（责任单位：</w:t>
      </w:r>
      <w:r>
        <w:rPr>
          <w:rFonts w:hint="default" w:ascii="Times New Roman" w:hAnsi="Times New Roman" w:eastAsia="方正楷体_GBK" w:cs="Times New Roman"/>
          <w:color w:val="000000"/>
          <w:spacing w:val="-10"/>
          <w:sz w:val="32"/>
          <w:szCs w:val="24"/>
          <w:lang w:eastAsia="zh-CN" w:bidi="ar"/>
        </w:rPr>
        <w:t>县</w:t>
      </w:r>
      <w:r>
        <w:rPr>
          <w:rFonts w:hint="default" w:ascii="Times New Roman" w:hAnsi="Times New Roman" w:eastAsia="方正楷体_GBK" w:cs="Times New Roman"/>
          <w:color w:val="000000"/>
          <w:spacing w:val="-10"/>
          <w:sz w:val="32"/>
          <w:szCs w:val="24"/>
          <w:lang w:bidi="ar"/>
        </w:rPr>
        <w:t>应急局）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bidi="ar"/>
        </w:rPr>
        <w:t>3</w:t>
      </w:r>
      <w:r>
        <w:rPr>
          <w:rFonts w:hint="default" w:ascii="Times New Roman" w:hAnsi="Times New Roman" w:cs="Times New Roman"/>
          <w:color w:val="000000"/>
          <w:sz w:val="32"/>
          <w:szCs w:val="24"/>
          <w:lang w:eastAsia="zh-CN" w:bidi="ar"/>
        </w:rPr>
        <w:t>8</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健全“双随机、一公开”监管机制，实现生态环境“双随机、一公开”监管全覆盖。实施企业环境监管正面清单动态管理制度，对纳入清单内企业减少现场执法频次，充分利用在线监控非现场方式进行监管</w:t>
      </w:r>
      <w:r>
        <w:rPr>
          <w:rFonts w:hint="default" w:ascii="Times New Roman" w:hAnsi="Times New Roman" w:eastAsia="仿宋_GB2312" w:cs="Times New Roman"/>
          <w:color w:val="000000"/>
          <w:sz w:val="32"/>
          <w:szCs w:val="24"/>
          <w:lang w:eastAsia="zh-CN" w:bidi="ar"/>
        </w:rPr>
        <w:t>。违法行为轻微并及时改正，没有造成危害后果的，不予行政处罚；初次违法且危害后果轻微并及时改正的，可以不予行政处罚或从轻、减轻处罚。</w:t>
      </w:r>
      <w:r>
        <w:rPr>
          <w:rFonts w:hint="default" w:ascii="Times New Roman" w:hAnsi="Times New Roman" w:eastAsia="仿宋_GB2312" w:cs="Times New Roman"/>
          <w:color w:val="000000"/>
          <w:sz w:val="32"/>
          <w:szCs w:val="24"/>
          <w:lang w:bidi="ar"/>
        </w:rPr>
        <w:t>被处以罚款但确有经济困难的，可申请暂缓或分期缴纳。被处以罚款但确有经济困难的企业或个人，在送法院强制执行后，根据当事人申请，提出还款计划，经案审会研究决定，在法院见证情况下，可暂缓对当事人强制执行、分期缴纳罚款。组织第三方技术团队开展帮扶检查，指导</w:t>
      </w:r>
      <w:r>
        <w:rPr>
          <w:rFonts w:hint="default" w:ascii="Times New Roman" w:hAnsi="Times New Roman" w:eastAsia="仿宋_GB2312" w:cs="Times New Roman"/>
          <w:color w:val="000000"/>
          <w:sz w:val="32"/>
          <w:szCs w:val="24"/>
          <w:lang w:eastAsia="zh-CN" w:bidi="ar"/>
        </w:rPr>
        <w:t>帮助</w:t>
      </w:r>
      <w:r>
        <w:rPr>
          <w:rFonts w:hint="default" w:ascii="Times New Roman" w:hAnsi="Times New Roman" w:eastAsia="仿宋_GB2312" w:cs="Times New Roman"/>
          <w:color w:val="000000"/>
          <w:sz w:val="32"/>
          <w:szCs w:val="24"/>
          <w:lang w:bidi="ar"/>
        </w:rPr>
        <w:t>企业整改环境问题。</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pacing w:val="-10"/>
          <w:sz w:val="32"/>
          <w:szCs w:val="24"/>
          <w:lang w:eastAsia="zh-CN" w:bidi="ar"/>
        </w:rPr>
        <w:t>淮安市金湖</w:t>
      </w:r>
      <w:r>
        <w:rPr>
          <w:rFonts w:hint="default" w:ascii="Times New Roman" w:hAnsi="Times New Roman" w:eastAsia="方正楷体_GBK" w:cs="Times New Roman"/>
          <w:color w:val="000000"/>
          <w:sz w:val="32"/>
          <w:szCs w:val="24"/>
          <w:lang w:bidi="ar"/>
        </w:rPr>
        <w:t>生态环境局）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39</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完善</w:t>
      </w:r>
      <w:r>
        <w:rPr>
          <w:rFonts w:hint="default" w:ascii="Times New Roman" w:hAnsi="Times New Roman" w:eastAsia="仿宋_GB2312" w:cs="Times New Roman"/>
          <w:color w:val="000000"/>
          <w:sz w:val="32"/>
          <w:szCs w:val="32"/>
          <w:lang w:bidi="ar"/>
        </w:rPr>
        <w:t>“万所联万会”</w:t>
      </w:r>
      <w:r>
        <w:rPr>
          <w:rFonts w:hint="default" w:ascii="Times New Roman" w:hAnsi="Times New Roman" w:eastAsia="仿宋_GB2312" w:cs="Times New Roman"/>
          <w:color w:val="000000"/>
          <w:sz w:val="32"/>
          <w:szCs w:val="24"/>
          <w:lang w:bidi="ar"/>
        </w:rPr>
        <w:t>工作机制。汇聚律师、公证、人民调解、仲裁等法律服务资源，深入个体工商户开展法律咨询、普法宣传、权益维护、纠纷调解等工作，开展法治体检、法律讲堂、法务培训等活动。指导全县园区公共法律服务中心制定法律服务清单，加强中小微企业普惠性法律服务，增强企业在合同管理、劳动用工等方面防范法律风险能力。实施人民调解</w:t>
      </w:r>
      <w:r>
        <w:rPr>
          <w:rFonts w:hint="default" w:ascii="Times New Roman" w:hAnsi="Times New Roman" w:eastAsia="仿宋_GB2312" w:cs="Times New Roman"/>
          <w:color w:val="000000"/>
          <w:sz w:val="32"/>
          <w:szCs w:val="32"/>
          <w:lang w:bidi="ar"/>
        </w:rPr>
        <w:t>“滤网清源”</w:t>
      </w:r>
      <w:r>
        <w:rPr>
          <w:rFonts w:hint="default" w:ascii="Times New Roman" w:hAnsi="Times New Roman" w:eastAsia="仿宋_GB2312" w:cs="Times New Roman"/>
          <w:color w:val="000000"/>
          <w:sz w:val="32"/>
          <w:szCs w:val="24"/>
          <w:lang w:bidi="ar"/>
        </w:rPr>
        <w:t>工程，依托行业协会、商会，推动涉企、涉个体工商户化解合同履约、劳动用工等方面法律纠纷，实施行政争议纾解拓展工程。</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pacing w:val="-10"/>
          <w:sz w:val="32"/>
          <w:szCs w:val="24"/>
          <w:lang w:eastAsia="zh-CN" w:bidi="ar"/>
        </w:rPr>
        <w:t>县</w:t>
      </w:r>
      <w:r>
        <w:rPr>
          <w:rFonts w:hint="default" w:ascii="Times New Roman" w:hAnsi="Times New Roman" w:eastAsia="方正楷体_GBK" w:cs="Times New Roman"/>
          <w:color w:val="000000"/>
          <w:sz w:val="32"/>
          <w:szCs w:val="24"/>
          <w:lang w:bidi="ar"/>
        </w:rPr>
        <w:t>司法局</w:t>
      </w:r>
      <w:r>
        <w:rPr>
          <w:rFonts w:hint="default" w:ascii="Times New Roman" w:hAnsi="Times New Roman" w:eastAsia="方正楷体_GBK" w:cs="Times New Roman"/>
          <w:color w:val="000000"/>
          <w:sz w:val="32"/>
          <w:szCs w:val="24"/>
          <w:lang w:eastAsia="zh-CN" w:bidi="ar"/>
        </w:rPr>
        <w:t>、县人社局</w:t>
      </w:r>
      <w:r>
        <w:rPr>
          <w:rFonts w:hint="default" w:ascii="Times New Roman" w:hAnsi="Times New Roman" w:eastAsia="方正楷体_GBK" w:cs="Times New Roman"/>
          <w:color w:val="000000"/>
          <w:sz w:val="32"/>
          <w:szCs w:val="24"/>
          <w:lang w:bidi="ar"/>
        </w:rPr>
        <w:t>）</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40</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深化财政奖补集成服务改革，完善</w:t>
      </w:r>
      <w:r>
        <w:rPr>
          <w:rFonts w:hint="default" w:ascii="Times New Roman" w:hAnsi="Times New Roman" w:eastAsia="仿宋_GB2312" w:cs="Times New Roman"/>
          <w:color w:val="000000"/>
          <w:sz w:val="32"/>
          <w:szCs w:val="32"/>
          <w:lang w:bidi="ar"/>
        </w:rPr>
        <w:t>“一表申请、一窗受理、一网通办、一键支付”工</w:t>
      </w:r>
      <w:r>
        <w:rPr>
          <w:rFonts w:hint="default" w:ascii="Times New Roman" w:hAnsi="Times New Roman" w:eastAsia="仿宋_GB2312" w:cs="Times New Roman"/>
          <w:color w:val="000000"/>
          <w:sz w:val="32"/>
          <w:szCs w:val="24"/>
          <w:lang w:bidi="ar"/>
        </w:rPr>
        <w:t>作机制，减环节、减材料、减时限，确保业务一次申报、资金快速直达。重点围绕业务</w:t>
      </w:r>
      <w:r>
        <w:rPr>
          <w:rFonts w:hint="default" w:ascii="Times New Roman" w:hAnsi="Times New Roman" w:eastAsia="仿宋_GB2312" w:cs="Times New Roman"/>
          <w:color w:val="000000"/>
          <w:sz w:val="32"/>
          <w:szCs w:val="32"/>
          <w:lang w:bidi="ar"/>
        </w:rPr>
        <w:t>“免申直补”和资金“一键支付”</w:t>
      </w:r>
      <w:r>
        <w:rPr>
          <w:rFonts w:hint="default" w:ascii="Times New Roman" w:hAnsi="Times New Roman" w:eastAsia="仿宋_GB2312" w:cs="Times New Roman"/>
          <w:color w:val="000000"/>
          <w:sz w:val="32"/>
          <w:szCs w:val="24"/>
          <w:lang w:bidi="ar"/>
        </w:rPr>
        <w:t>，全面梳理全</w:t>
      </w:r>
      <w:r>
        <w:rPr>
          <w:rFonts w:hint="default" w:ascii="Times New Roman" w:hAnsi="Times New Roman" w:eastAsia="仿宋_GB2312" w:cs="Times New Roman"/>
          <w:color w:val="000000"/>
          <w:sz w:val="32"/>
          <w:szCs w:val="24"/>
          <w:lang w:eastAsia="zh-CN" w:bidi="ar"/>
        </w:rPr>
        <w:t>县</w:t>
      </w:r>
      <w:r>
        <w:rPr>
          <w:rFonts w:hint="default" w:ascii="Times New Roman" w:hAnsi="Times New Roman" w:eastAsia="仿宋_GB2312" w:cs="Times New Roman"/>
          <w:color w:val="000000"/>
          <w:sz w:val="32"/>
          <w:szCs w:val="24"/>
          <w:lang w:bidi="ar"/>
        </w:rPr>
        <w:t>财政奖补“免申直补”业务清单，运用10类“免申直补”业务办理模式，优化奖补业务办理。整合使用工业、科技等领域专项资金。全面摸排拓展“免申直补”事项范围，积极对接</w:t>
      </w:r>
      <w:r>
        <w:rPr>
          <w:rFonts w:hint="default" w:ascii="Times New Roman" w:hAnsi="Times New Roman" w:eastAsia="仿宋_GB2312" w:cs="Times New Roman"/>
          <w:color w:val="000000"/>
          <w:sz w:val="32"/>
          <w:szCs w:val="24"/>
          <w:lang w:eastAsia="zh-CN" w:bidi="ar"/>
        </w:rPr>
        <w:t>工信、市监、发改、科技</w:t>
      </w:r>
      <w:r>
        <w:rPr>
          <w:rFonts w:hint="default" w:ascii="Times New Roman" w:hAnsi="Times New Roman" w:eastAsia="仿宋_GB2312" w:cs="Times New Roman"/>
          <w:color w:val="000000"/>
          <w:sz w:val="32"/>
          <w:szCs w:val="24"/>
          <w:lang w:bidi="ar"/>
        </w:rPr>
        <w:t>等相关数据接口，加大财政奖补平台与财政一体化平台对接力度，推动资金支付再提速。在企业开办专窗增设财政奖补企业入库环节，企业在注册登记</w:t>
      </w:r>
      <w:r>
        <w:rPr>
          <w:rFonts w:hint="default" w:ascii="Times New Roman" w:hAnsi="Times New Roman" w:eastAsia="仿宋_GB2312" w:cs="Times New Roman"/>
          <w:color w:val="000000"/>
          <w:sz w:val="32"/>
          <w:szCs w:val="24"/>
          <w:lang w:eastAsia="zh-CN" w:bidi="ar"/>
        </w:rPr>
        <w:t>时即可完成入库</w:t>
      </w:r>
      <w:r>
        <w:rPr>
          <w:rFonts w:hint="default" w:ascii="Times New Roman" w:hAnsi="Times New Roman" w:eastAsia="仿宋_GB2312" w:cs="Times New Roman"/>
          <w:color w:val="000000"/>
          <w:sz w:val="32"/>
          <w:szCs w:val="24"/>
          <w:lang w:bidi="ar"/>
        </w:rPr>
        <w:t>，真正实现</w:t>
      </w:r>
      <w:r>
        <w:rPr>
          <w:rFonts w:hint="default" w:ascii="Times New Roman" w:hAnsi="Times New Roman" w:eastAsia="仿宋_GB2312" w:cs="Times New Roman"/>
          <w:color w:val="000000"/>
          <w:sz w:val="32"/>
          <w:szCs w:val="24"/>
          <w:lang w:eastAsia="zh-CN" w:bidi="ar"/>
        </w:rPr>
        <w:t>只</w:t>
      </w:r>
      <w:r>
        <w:rPr>
          <w:rFonts w:hint="default" w:ascii="Times New Roman" w:hAnsi="Times New Roman" w:eastAsia="仿宋_GB2312" w:cs="Times New Roman"/>
          <w:color w:val="000000"/>
          <w:sz w:val="32"/>
          <w:szCs w:val="32"/>
          <w:lang w:bidi="ar"/>
        </w:rPr>
        <w:t>“跑一次”</w:t>
      </w:r>
      <w:r>
        <w:rPr>
          <w:rFonts w:hint="default" w:ascii="Times New Roman" w:hAnsi="Times New Roman" w:eastAsia="仿宋_GB2312" w:cs="Times New Roman"/>
          <w:color w:val="000000"/>
          <w:sz w:val="32"/>
          <w:szCs w:val="24"/>
          <w:lang w:bidi="ar"/>
        </w:rPr>
        <w:t>。</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pacing w:val="-10"/>
          <w:sz w:val="32"/>
          <w:szCs w:val="24"/>
          <w:lang w:eastAsia="zh-CN" w:bidi="ar"/>
        </w:rPr>
        <w:t>县行政审批局</w:t>
      </w:r>
      <w:r>
        <w:rPr>
          <w:rFonts w:hint="default" w:ascii="Times New Roman" w:hAnsi="Times New Roman" w:eastAsia="方正楷体_GBK" w:cs="Times New Roman"/>
          <w:color w:val="000000"/>
          <w:sz w:val="32"/>
          <w:szCs w:val="24"/>
          <w:lang w:eastAsia="zh-CN" w:bidi="ar"/>
        </w:rPr>
        <w:t>、县财政局</w:t>
      </w:r>
      <w:r>
        <w:rPr>
          <w:rFonts w:hint="default" w:ascii="Times New Roman" w:hAnsi="Times New Roman" w:eastAsia="方正楷体_GBK" w:cs="Times New Roman"/>
          <w:color w:val="000000"/>
          <w:sz w:val="32"/>
          <w:szCs w:val="24"/>
          <w:lang w:bidi="ar"/>
        </w:rPr>
        <w:t>）</w:t>
      </w:r>
      <w:r>
        <w:rPr>
          <w:rFonts w:hint="default" w:ascii="Times New Roman" w:hAnsi="Times New Roman" w:eastAsia="方正楷体_GBK" w:cs="Times New Roman"/>
          <w:color w:val="000000"/>
          <w:sz w:val="32"/>
          <w:szCs w:val="24"/>
          <w:lang w:bidi="ar"/>
        </w:rPr>
        <w:tab/>
      </w:r>
      <w:r>
        <w:rPr>
          <w:rFonts w:hint="default" w:ascii="Times New Roman" w:hAnsi="Times New Roman" w:eastAsia="方正楷体_GBK" w:cs="Times New Roman"/>
          <w:color w:val="000000"/>
          <w:sz w:val="32"/>
          <w:szCs w:val="24"/>
          <w:lang w:bidi="ar"/>
        </w:rPr>
        <w:tab/>
      </w:r>
      <w:r>
        <w:rPr>
          <w:rFonts w:hint="default" w:ascii="Times New Roman" w:hAnsi="Times New Roman" w:eastAsia="方正楷体_GBK" w:cs="Times New Roman"/>
          <w:color w:val="000000"/>
          <w:sz w:val="32"/>
          <w:szCs w:val="24"/>
          <w:lang w:bidi="ar"/>
        </w:rPr>
        <w:tab/>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41</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32"/>
          <w:lang w:bidi="ar"/>
        </w:rPr>
        <w:t>优化涉企审批服务，提高节能审查和技改项目备案便利度。</w:t>
      </w:r>
      <w:r>
        <w:rPr>
          <w:rFonts w:hint="default" w:ascii="Times New Roman" w:hAnsi="Times New Roman" w:eastAsia="仿宋_GB2312" w:cs="Times New Roman"/>
          <w:color w:val="000000"/>
          <w:sz w:val="32"/>
          <w:szCs w:val="32"/>
          <w:lang w:eastAsia="zh-CN" w:bidi="ar"/>
        </w:rPr>
        <w:t>推动金湖县制造业高质量发展专项资金申报，对认定奖励类项目奖补资金实行第一批快速下达，对非认定类项目进一步压缩审批时限</w:t>
      </w:r>
      <w:r>
        <w:rPr>
          <w:rFonts w:hint="default" w:ascii="Times New Roman" w:hAnsi="Times New Roman" w:eastAsia="仿宋_GB2312" w:cs="Times New Roman"/>
          <w:color w:val="000000"/>
          <w:sz w:val="32"/>
          <w:szCs w:val="32"/>
          <w:lang w:bidi="ar"/>
        </w:rPr>
        <w:t>。</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pacing w:val="-10"/>
          <w:sz w:val="32"/>
          <w:szCs w:val="24"/>
          <w:lang w:eastAsia="zh-CN" w:bidi="ar"/>
        </w:rPr>
        <w:t>县行政审批局</w:t>
      </w:r>
      <w:r>
        <w:rPr>
          <w:rFonts w:hint="default" w:ascii="Times New Roman" w:hAnsi="Times New Roman" w:eastAsia="方正楷体_GBK" w:cs="Times New Roman"/>
          <w:color w:val="000000"/>
          <w:sz w:val="32"/>
          <w:szCs w:val="24"/>
          <w:lang w:eastAsia="zh-CN" w:bidi="ar"/>
        </w:rPr>
        <w:t>、</w:t>
      </w:r>
      <w:r>
        <w:rPr>
          <w:rFonts w:hint="default" w:ascii="Times New Roman" w:hAnsi="Times New Roman" w:eastAsia="方正楷体_GBK" w:cs="Times New Roman"/>
          <w:color w:val="000000"/>
          <w:spacing w:val="-10"/>
          <w:sz w:val="32"/>
          <w:szCs w:val="24"/>
          <w:lang w:eastAsia="zh-CN" w:bidi="ar"/>
        </w:rPr>
        <w:t>县</w:t>
      </w:r>
      <w:r>
        <w:rPr>
          <w:rFonts w:hint="default" w:ascii="Times New Roman" w:hAnsi="Times New Roman" w:eastAsia="方正楷体_GBK" w:cs="Times New Roman"/>
          <w:color w:val="000000"/>
          <w:sz w:val="32"/>
          <w:szCs w:val="24"/>
          <w:lang w:bidi="ar"/>
        </w:rPr>
        <w:t>工信局</w:t>
      </w:r>
      <w:r>
        <w:rPr>
          <w:rFonts w:hint="default" w:ascii="Times New Roman" w:hAnsi="Times New Roman" w:eastAsia="方正楷体_GBK" w:cs="Times New Roman"/>
          <w:color w:val="000000"/>
          <w:sz w:val="32"/>
          <w:szCs w:val="24"/>
          <w:lang w:eastAsia="zh-CN" w:bidi="ar"/>
        </w:rPr>
        <w:t>、县财政局</w:t>
      </w:r>
      <w:r>
        <w:rPr>
          <w:rFonts w:hint="default" w:ascii="Times New Roman" w:hAnsi="Times New Roman" w:eastAsia="方正楷体_GBK" w:cs="Times New Roman"/>
          <w:color w:val="000000"/>
          <w:sz w:val="32"/>
          <w:szCs w:val="24"/>
          <w:lang w:bidi="ar"/>
        </w:rPr>
        <w:t>）</w:t>
      </w:r>
      <w:r>
        <w:rPr>
          <w:rFonts w:hint="default" w:ascii="Times New Roman" w:hAnsi="Times New Roman" w:eastAsia="方正楷体_GBK" w:cs="Times New Roman"/>
          <w:color w:val="000000"/>
          <w:sz w:val="32"/>
          <w:szCs w:val="24"/>
          <w:lang w:bidi="ar"/>
        </w:rPr>
        <w:tab/>
      </w:r>
      <w:r>
        <w:rPr>
          <w:rFonts w:hint="default" w:ascii="Times New Roman" w:hAnsi="Times New Roman" w:eastAsia="方正楷体_GBK" w:cs="Times New Roman"/>
          <w:color w:val="000000"/>
          <w:sz w:val="32"/>
          <w:szCs w:val="24"/>
          <w:lang w:bidi="ar"/>
        </w:rPr>
        <w:tab/>
      </w:r>
      <w:r>
        <w:rPr>
          <w:rFonts w:hint="default" w:ascii="Times New Roman" w:hAnsi="Times New Roman" w:eastAsia="方正楷体_GBK" w:cs="Times New Roman"/>
          <w:color w:val="000000"/>
          <w:sz w:val="32"/>
          <w:szCs w:val="24"/>
          <w:lang w:bidi="ar"/>
        </w:rPr>
        <w:tab/>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42</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eastAsia="zh-CN" w:bidi="ar"/>
        </w:rPr>
        <w:t>落实食品相关产品、化肥工业产品生产许可告知承诺制，合并开办药品零售企业筹建和验收两个审批环节为一次审批。</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市场监管局）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43</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bidi="ar"/>
        </w:rPr>
        <w:t>建立健全惠企政策直达机制，精准推送、及时落实惠企政策。依托</w:t>
      </w:r>
      <w:r>
        <w:rPr>
          <w:rFonts w:hint="default" w:ascii="Times New Roman" w:hAnsi="Times New Roman" w:eastAsia="仿宋_GB2312" w:cs="Times New Roman"/>
          <w:color w:val="000000"/>
          <w:sz w:val="32"/>
          <w:szCs w:val="32"/>
          <w:lang w:bidi="ar"/>
        </w:rPr>
        <w:t>“淮税通·安心办”</w:t>
      </w:r>
      <w:r>
        <w:rPr>
          <w:rFonts w:hint="default" w:ascii="Times New Roman" w:hAnsi="Times New Roman" w:eastAsia="仿宋_GB2312" w:cs="Times New Roman"/>
          <w:color w:val="000000"/>
          <w:sz w:val="32"/>
          <w:szCs w:val="24"/>
          <w:lang w:bidi="ar"/>
        </w:rPr>
        <w:t>，实施</w:t>
      </w:r>
      <w:r>
        <w:rPr>
          <w:rFonts w:hint="default" w:ascii="Times New Roman" w:hAnsi="Times New Roman" w:eastAsia="仿宋_GB2312" w:cs="Times New Roman"/>
          <w:color w:val="000000"/>
          <w:sz w:val="32"/>
          <w:szCs w:val="32"/>
          <w:lang w:bidi="ar"/>
        </w:rPr>
        <w:t>“税费政策直达享”</w:t>
      </w:r>
      <w:r>
        <w:rPr>
          <w:rFonts w:hint="default" w:ascii="Times New Roman" w:hAnsi="Times New Roman" w:eastAsia="仿宋_GB2312" w:cs="Times New Roman"/>
          <w:color w:val="000000"/>
          <w:sz w:val="32"/>
          <w:szCs w:val="24"/>
          <w:lang w:bidi="ar"/>
        </w:rPr>
        <w:t>服务。</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税务局）</w:t>
      </w:r>
    </w:p>
    <w:p>
      <w:pPr>
        <w:keepNext w:val="0"/>
        <w:keepLines w:val="0"/>
        <w:pageBreakBefore w:val="0"/>
        <w:widowControl w:val="0"/>
        <w:kinsoku/>
        <w:wordWrap/>
        <w:topLinePunct w:val="0"/>
        <w:autoSpaceDE/>
        <w:autoSpaceDN/>
        <w:bidi w:val="0"/>
        <w:snapToGrid/>
        <w:spacing w:beforeLines="0" w:afterLines="0" w:line="560" w:lineRule="exact"/>
        <w:ind w:firstLine="640" w:firstLineChars="200"/>
        <w:rPr>
          <w:rFonts w:hint="default" w:ascii="Times New Roman" w:hAnsi="Times New Roman" w:eastAsia="方正楷体_GBK" w:cs="Times New Roman"/>
          <w:color w:val="000000"/>
          <w:sz w:val="32"/>
          <w:szCs w:val="24"/>
          <w:lang w:bidi="ar"/>
        </w:rPr>
      </w:pPr>
      <w:r>
        <w:rPr>
          <w:rFonts w:hint="default" w:ascii="Times New Roman" w:hAnsi="Times New Roman" w:cs="Times New Roman"/>
          <w:color w:val="000000"/>
          <w:sz w:val="32"/>
          <w:szCs w:val="24"/>
          <w:lang w:eastAsia="zh-CN" w:bidi="ar"/>
        </w:rPr>
        <w:t>44</w:t>
      </w:r>
      <w:r>
        <w:rPr>
          <w:rFonts w:hint="default" w:ascii="Times New Roman" w:hAnsi="Times New Roman" w:cs="Times New Roman"/>
          <w:color w:val="000000"/>
          <w:sz w:val="32"/>
          <w:szCs w:val="24"/>
          <w:lang w:val="en-US" w:eastAsia="zh-CN" w:bidi="ar"/>
        </w:rPr>
        <w:t>.</w:t>
      </w:r>
      <w:r>
        <w:rPr>
          <w:rFonts w:hint="default" w:ascii="Times New Roman" w:hAnsi="Times New Roman" w:eastAsia="仿宋_GB2312" w:cs="Times New Roman"/>
          <w:color w:val="000000"/>
          <w:sz w:val="32"/>
          <w:szCs w:val="24"/>
          <w:lang w:eastAsia="zh-CN" w:bidi="ar"/>
        </w:rPr>
        <w:t>压紧压实地方党政领导责任、部门监管责任和企业主体责任，</w:t>
      </w:r>
      <w:r>
        <w:rPr>
          <w:rFonts w:hint="default" w:ascii="Times New Roman" w:hAnsi="Times New Roman" w:eastAsia="仿宋_GB2312" w:cs="Times New Roman"/>
          <w:color w:val="000000"/>
          <w:sz w:val="32"/>
          <w:szCs w:val="24"/>
          <w:lang w:bidi="ar"/>
        </w:rPr>
        <w:t>持续深化提升安全生产专项整治三年行动，推动全县</w:t>
      </w:r>
      <w:r>
        <w:rPr>
          <w:rFonts w:hint="default" w:ascii="Times New Roman" w:hAnsi="Times New Roman" w:eastAsia="仿宋_GB2312" w:cs="Times New Roman"/>
          <w:color w:val="000000"/>
          <w:sz w:val="32"/>
          <w:szCs w:val="24"/>
          <w:lang w:eastAsia="zh-CN" w:bidi="ar"/>
        </w:rPr>
        <w:t>安全生产专项整治年度9项、重点行业领域47项以及镇（街）47项重点工作任务清单</w:t>
      </w:r>
      <w:r>
        <w:rPr>
          <w:rFonts w:hint="default" w:ascii="Times New Roman" w:hAnsi="Times New Roman" w:eastAsia="仿宋_GB2312" w:cs="Times New Roman"/>
          <w:color w:val="000000"/>
          <w:sz w:val="32"/>
          <w:szCs w:val="24"/>
          <w:lang w:bidi="ar"/>
        </w:rPr>
        <w:t>落地落实。扎实推进危化品安全风险集中治理，全面提升危化品安全生产治理能力。开展工业企业风险定期报告。</w:t>
      </w:r>
      <w:r>
        <w:rPr>
          <w:rFonts w:hint="default" w:ascii="Times New Roman" w:hAnsi="Times New Roman" w:eastAsia="方正楷体_GBK" w:cs="Times New Roman"/>
          <w:color w:val="000000"/>
          <w:sz w:val="32"/>
          <w:szCs w:val="24"/>
          <w:lang w:bidi="ar"/>
        </w:rPr>
        <w:t>（责任单位：</w:t>
      </w:r>
      <w:r>
        <w:rPr>
          <w:rFonts w:hint="default" w:ascii="Times New Roman" w:hAnsi="Times New Roman" w:eastAsia="方正楷体_GBK" w:cs="Times New Roman"/>
          <w:color w:val="000000"/>
          <w:sz w:val="32"/>
          <w:szCs w:val="24"/>
          <w:lang w:eastAsia="zh-CN" w:bidi="ar"/>
        </w:rPr>
        <w:t>县</w:t>
      </w:r>
      <w:r>
        <w:rPr>
          <w:rFonts w:hint="default" w:ascii="Times New Roman" w:hAnsi="Times New Roman" w:eastAsia="方正楷体_GBK" w:cs="Times New Roman"/>
          <w:color w:val="000000"/>
          <w:sz w:val="32"/>
          <w:szCs w:val="24"/>
          <w:lang w:bidi="ar"/>
        </w:rPr>
        <w:t>应急局）</w:t>
      </w:r>
    </w:p>
    <w:p>
      <w:pPr>
        <w:pStyle w:val="5"/>
        <w:keepNext w:val="0"/>
        <w:keepLines w:val="0"/>
        <w:pageBreakBefore w:val="0"/>
        <w:widowControl w:val="0"/>
        <w:kinsoku/>
        <w:wordWrap/>
        <w:topLinePunct w:val="0"/>
        <w:autoSpaceDE/>
        <w:autoSpaceDN/>
        <w:bidi w:val="0"/>
        <w:snapToGrid/>
        <w:spacing w:before="0" w:beforeLines="0" w:beforeAutospacing="0" w:after="0" w:afterLines="0" w:afterAutospacing="0" w:line="560" w:lineRule="exact"/>
        <w:ind w:firstLine="640" w:firstLineChars="200"/>
        <w:jc w:val="both"/>
        <w:rPr>
          <w:rFonts w:hint="default" w:ascii="Times New Roman" w:hAnsi="Times New Roman" w:eastAsia="仿宋_GB2312" w:cs="Times New Roman"/>
          <w:color w:val="000000"/>
          <w:sz w:val="32"/>
          <w:szCs w:val="24"/>
          <w:lang w:bidi="ar"/>
        </w:rPr>
      </w:pPr>
      <w:r>
        <w:rPr>
          <w:rFonts w:hint="default" w:ascii="Times New Roman" w:hAnsi="Times New Roman" w:eastAsia="仿宋_GB2312" w:cs="Times New Roman"/>
          <w:color w:val="000000"/>
          <w:sz w:val="32"/>
          <w:szCs w:val="24"/>
          <w:lang w:bidi="ar"/>
        </w:rPr>
        <w:t>以上政策措施自印发之日起实施，未特别注明时限的，有效期至2022年底。如国家和省出台同类政策，原则上按</w:t>
      </w:r>
      <w:r>
        <w:rPr>
          <w:rFonts w:hint="default" w:ascii="Times New Roman" w:hAnsi="Times New Roman" w:eastAsia="仿宋_GB2312" w:cs="Times New Roman"/>
          <w:color w:val="000000"/>
          <w:sz w:val="32"/>
          <w:szCs w:val="32"/>
          <w:lang w:bidi="ar"/>
        </w:rPr>
        <w:t>“取高不重复”</w:t>
      </w:r>
      <w:r>
        <w:rPr>
          <w:rFonts w:hint="default" w:ascii="Times New Roman" w:hAnsi="Times New Roman" w:eastAsia="仿宋_GB2312" w:cs="Times New Roman"/>
          <w:color w:val="000000"/>
          <w:sz w:val="32"/>
          <w:szCs w:val="24"/>
          <w:lang w:bidi="ar"/>
        </w:rPr>
        <w:t>原则执行。各镇（街）各单位要认真贯彻落实，推动各项政策措施落地见效。县政府办公室将适时就实施细则贯彻落实情况开展督促检查。</w:t>
      </w:r>
    </w:p>
    <w:p>
      <w:pPr>
        <w:pStyle w:val="6"/>
        <w:rPr>
          <w:rFonts w:hint="default" w:ascii="Times New Roman" w:hAnsi="Times New Roman" w:eastAsia="仿宋_GB2312" w:cs="Times New Roman"/>
          <w:sz w:val="32"/>
          <w:szCs w:val="32"/>
          <w:highlight w:val="none"/>
          <w:lang w:val="en-US" w:eastAsia="zh-CN"/>
        </w:rPr>
      </w:pPr>
    </w:p>
    <w:p>
      <w:pPr>
        <w:pStyle w:val="6"/>
        <w:rPr>
          <w:rFonts w:hint="default" w:ascii="Times New Roman" w:hAnsi="Times New Roman" w:eastAsia="仿宋_GB2312" w:cs="Times New Roman"/>
          <w:sz w:val="32"/>
          <w:szCs w:val="32"/>
          <w:highlight w:val="none"/>
          <w:lang w:val="en-US" w:eastAsia="zh-CN"/>
        </w:rPr>
      </w:pPr>
    </w:p>
    <w:p>
      <w:pPr>
        <w:pStyle w:val="6"/>
        <w:rPr>
          <w:rFonts w:hint="default" w:ascii="Times New Roman" w:hAnsi="Times New Roman" w:eastAsia="仿宋_GB2312" w:cs="Times New Roman"/>
          <w:sz w:val="32"/>
          <w:szCs w:val="32"/>
          <w:highlight w:val="none"/>
          <w:lang w:val="en-US" w:eastAsia="zh-CN"/>
        </w:rPr>
      </w:pPr>
      <w:bookmarkStart w:id="1" w:name="_GoBack"/>
      <w:bookmarkEnd w:id="1"/>
    </w:p>
    <w:p>
      <w:pPr>
        <w:pStyle w:val="6"/>
        <w:rPr>
          <w:rFonts w:hint="default" w:ascii="Times New Roman" w:hAnsi="Times New Roman" w:eastAsia="仿宋_GB2312" w:cs="Times New Roman"/>
          <w:sz w:val="32"/>
          <w:szCs w:val="32"/>
          <w:highlight w:val="none"/>
          <w:lang w:val="en-US" w:eastAsia="zh-CN"/>
        </w:rPr>
      </w:pPr>
    </w:p>
    <w:p>
      <w:pPr>
        <w:pStyle w:val="6"/>
        <w:rPr>
          <w:rFonts w:hint="default" w:ascii="Times New Roman" w:hAnsi="Times New Roman" w:eastAsia="仿宋_GB2312" w:cs="Times New Roman"/>
          <w:sz w:val="32"/>
          <w:szCs w:val="32"/>
          <w:highlight w:val="none"/>
          <w:lang w:val="en-US" w:eastAsia="zh-CN"/>
        </w:rPr>
      </w:pPr>
    </w:p>
    <w:p>
      <w:pPr>
        <w:pStyle w:val="6"/>
        <w:rPr>
          <w:rFonts w:hint="default" w:ascii="Times New Roman" w:hAnsi="Times New Roman" w:eastAsia="仿宋_GB2312" w:cs="Times New Roman"/>
          <w:sz w:val="32"/>
          <w:szCs w:val="32"/>
          <w:highlight w:val="none"/>
          <w:lang w:val="en-US" w:eastAsia="zh-CN"/>
        </w:rPr>
      </w:pPr>
    </w:p>
    <w:p>
      <w:pPr>
        <w:pStyle w:val="6"/>
        <w:rPr>
          <w:rFonts w:hint="default" w:ascii="Times New Roman" w:hAnsi="Times New Roman" w:eastAsia="仿宋_GB2312" w:cs="Times New Roman"/>
          <w:sz w:val="32"/>
          <w:szCs w:val="32"/>
          <w:highlight w:val="none"/>
          <w:lang w:val="en-US" w:eastAsia="zh-CN"/>
        </w:rPr>
      </w:pPr>
    </w:p>
    <w:p>
      <w:pPr>
        <w:pStyle w:val="6"/>
        <w:rPr>
          <w:rFonts w:hint="default" w:ascii="Times New Roman" w:hAnsi="Times New Roman" w:eastAsia="仿宋_GB2312" w:cs="Times New Roman"/>
          <w:sz w:val="32"/>
          <w:szCs w:val="32"/>
          <w:highlight w:val="none"/>
          <w:lang w:val="en-US" w:eastAsia="zh-CN"/>
        </w:rPr>
      </w:pPr>
    </w:p>
    <w:p>
      <w:pPr>
        <w:pStyle w:val="6"/>
        <w:rPr>
          <w:rFonts w:hint="default" w:ascii="Times New Roman" w:hAnsi="Times New Roman" w:eastAsia="仿宋_GB2312" w:cs="Times New Roman"/>
          <w:sz w:val="32"/>
          <w:szCs w:val="32"/>
          <w:highlight w:val="none"/>
          <w:lang w:val="en-US" w:eastAsia="zh-CN"/>
        </w:rPr>
      </w:pPr>
    </w:p>
    <w:p>
      <w:pPr>
        <w:spacing w:line="480" w:lineRule="exact"/>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sz w:val="32"/>
          <w:highlight w:val="none"/>
          <w:u w:val="thick"/>
        </w:rPr>
        <mc:AlternateContent>
          <mc:Choice Requires="wps">
            <w:drawing>
              <wp:anchor distT="0" distB="0" distL="114300" distR="114300" simplePos="0" relativeHeight="251659264" behindDoc="0" locked="0" layoutInCell="1" allowOverlap="1">
                <wp:simplePos x="0" y="0"/>
                <wp:positionH relativeFrom="column">
                  <wp:posOffset>9525</wp:posOffset>
                </wp:positionH>
                <wp:positionV relativeFrom="paragraph">
                  <wp:posOffset>248920</wp:posOffset>
                </wp:positionV>
                <wp:extent cx="5685790" cy="6985"/>
                <wp:effectExtent l="0" t="0" r="0" b="0"/>
                <wp:wrapNone/>
                <wp:docPr id="18" name="直线 2"/>
                <wp:cNvGraphicFramePr/>
                <a:graphic xmlns:a="http://schemas.openxmlformats.org/drawingml/2006/main">
                  <a:graphicData uri="http://schemas.microsoft.com/office/word/2010/wordprocessingShape">
                    <wps:wsp>
                      <wps:cNvCnPr/>
                      <wps:spPr>
                        <a:xfrm>
                          <a:off x="0" y="0"/>
                          <a:ext cx="5685790" cy="6985"/>
                        </a:xfrm>
                        <a:prstGeom prst="straightConnector1">
                          <a:avLst/>
                        </a:prstGeom>
                        <a:ln w="19050" cap="flat" cmpd="sng">
                          <a:solidFill>
                            <a:srgbClr val="000000"/>
                          </a:solidFill>
                          <a:prstDash val="solid"/>
                          <a:round/>
                          <a:headEnd type="none" w="med" len="med"/>
                          <a:tailEnd type="none" w="med" len="med"/>
                        </a:ln>
                      </wps:spPr>
                      <wps:bodyPr/>
                    </wps:wsp>
                  </a:graphicData>
                </a:graphic>
              </wp:anchor>
            </w:drawing>
          </mc:Choice>
          <mc:Fallback>
            <w:pict>
              <v:shape id="直线 2" o:spid="_x0000_s1026" o:spt="32" type="#_x0000_t32" style="position:absolute;left:0pt;margin-left:0.75pt;margin-top:19.6pt;height:0.55pt;width:447.7pt;z-index:251659264;mso-width-relative:page;mso-height-relative:page;" filled="f" stroked="t" coordsize="21600,21600" o:gfxdata="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Z1xW&#10;jNMAAAAHAQAADwAAAAAAAAABACAAAAAiAAAAZHJzL2Rvd25yZXYueG1sUEsBAhQAFAAAAAgAh07i&#10;QEtK+M/uAQAA7AMAAA4AAAAAAAAAAQAgAAAAIgEAAGRycy9lMm9Eb2MueG1sUEsFBgAAAAAGAAYA&#10;WQEAAIIFAAAAAA==&#10;">
                <v:fill on="f" focussize="0,0"/>
                <v:stroke weight="1.5pt" color="#000000" joinstyle="round"/>
                <v:imagedata o:title=""/>
                <o:lock v:ext="edit" aspectratio="f"/>
              </v:shape>
            </w:pict>
          </mc:Fallback>
        </mc:AlternateContent>
      </w:r>
    </w:p>
    <w:p>
      <w:pPr>
        <w:rPr>
          <w:rFonts w:hint="default" w:ascii="Times New Roman" w:hAnsi="Times New Roman" w:cs="Times New Roman"/>
          <w:lang w:val="en-US" w:eastAsia="zh-CN"/>
        </w:rPr>
      </w:pPr>
      <w:r>
        <w:rPr>
          <w:rFonts w:hint="default" w:ascii="Times New Roman" w:hAnsi="Times New Roman" w:eastAsia="仿宋_GB2312" w:cs="Times New Roman"/>
          <w:sz w:val="28"/>
          <w:szCs w:val="28"/>
          <w:highlight w:val="none"/>
          <w:lang w:val="en-US" w:eastAsia="zh-CN"/>
        </w:rPr>
        <w:t xml:space="preserve">  </w:t>
      </w:r>
      <w:r>
        <w:rPr>
          <w:rFonts w:hint="default" w:ascii="Times New Roman" w:hAnsi="Times New Roman" w:eastAsia="仿宋_GB2312" w:cs="Times New Roman"/>
          <w:sz w:val="32"/>
          <w:highlight w:val="none"/>
        </w:rPr>
        <mc:AlternateContent>
          <mc:Choice Requires="wps">
            <w:drawing>
              <wp:anchor distT="0" distB="0" distL="114300" distR="114300" simplePos="0" relativeHeight="251660288" behindDoc="0" locked="0" layoutInCell="1" allowOverlap="1">
                <wp:simplePos x="0" y="0"/>
                <wp:positionH relativeFrom="column">
                  <wp:posOffset>-1270</wp:posOffset>
                </wp:positionH>
                <wp:positionV relativeFrom="paragraph">
                  <wp:posOffset>354330</wp:posOffset>
                </wp:positionV>
                <wp:extent cx="5725160" cy="10795"/>
                <wp:effectExtent l="0" t="0" r="0" b="0"/>
                <wp:wrapNone/>
                <wp:docPr id="32" name="直线 3"/>
                <wp:cNvGraphicFramePr/>
                <a:graphic xmlns:a="http://schemas.openxmlformats.org/drawingml/2006/main">
                  <a:graphicData uri="http://schemas.microsoft.com/office/word/2010/wordprocessingShape">
                    <wps:wsp>
                      <wps:cNvCnPr/>
                      <wps:spPr>
                        <a:xfrm flipV="1">
                          <a:off x="0" y="0"/>
                          <a:ext cx="5725160" cy="10795"/>
                        </a:xfrm>
                        <a:prstGeom prst="straightConnector1">
                          <a:avLst/>
                        </a:prstGeom>
                        <a:ln w="19050" cap="flat" cmpd="sng">
                          <a:solidFill>
                            <a:srgbClr val="000000"/>
                          </a:solidFill>
                          <a:prstDash val="solid"/>
                          <a:round/>
                          <a:headEnd type="none" w="med" len="med"/>
                          <a:tailEnd type="none" w="med" len="med"/>
                        </a:ln>
                      </wps:spPr>
                      <wps:bodyPr/>
                    </wps:wsp>
                  </a:graphicData>
                </a:graphic>
              </wp:anchor>
            </w:drawing>
          </mc:Choice>
          <mc:Fallback>
            <w:pict>
              <v:shape id="直线 3" o:spid="_x0000_s1026" o:spt="32" type="#_x0000_t32" style="position:absolute;left:0pt;flip:y;margin-left:-0.1pt;margin-top:27.9pt;height:0.85pt;width:450.8pt;z-index:251660288;mso-width-relative:page;mso-height-relative:page;" filled="f" stroked="t" coordsize="21600,21600" o:gfxdata="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br5/E2AAAAAcBAAAPAAAAAAAAAAEAIAAAACIAAABkcnMvZG93bnJldi54bWxQ&#10;SwECFAAUAAAACACHTuJAbV3pufcBAAD3AwAADgAAAAAAAAABACAAAAAnAQAAZHJzL2Uyb0RvYy54&#10;bWxQSwUGAAAAAAYABgBZAQAAkAUAAAAA&#10;">
                <v:fill on="f" focussize="0,0"/>
                <v:stroke weight="1.5pt" color="#000000" joinstyle="round"/>
                <v:imagedata o:title=""/>
                <o:lock v:ext="edit" aspectratio="f"/>
              </v:shape>
            </w:pict>
          </mc:Fallback>
        </mc:AlternateContent>
      </w:r>
      <w:r>
        <w:rPr>
          <w:rFonts w:hint="default" w:ascii="Times New Roman" w:hAnsi="Times New Roman" w:eastAsia="仿宋_GB2312" w:cs="Times New Roman"/>
          <w:sz w:val="28"/>
          <w:szCs w:val="28"/>
          <w:highlight w:val="none"/>
          <w:lang w:val="en-US" w:eastAsia="zh-CN"/>
        </w:rPr>
        <w:t>金湖县人民政府办公室</w:t>
      </w:r>
      <w:r>
        <w:rPr>
          <w:rFonts w:hint="default" w:ascii="Times New Roman" w:hAnsi="Times New Roman" w:eastAsia="仿宋_GB2312" w:cs="Times New Roman"/>
          <w:sz w:val="28"/>
          <w:szCs w:val="28"/>
          <w:highlight w:val="none"/>
        </w:rPr>
        <w:t xml:space="preserve">  </w:t>
      </w:r>
      <w:r>
        <w:rPr>
          <w:rFonts w:hint="default" w:ascii="Times New Roman" w:hAnsi="Times New Roman" w:eastAsia="仿宋_GB2312" w:cs="Times New Roman"/>
          <w:sz w:val="28"/>
          <w:szCs w:val="28"/>
          <w:highlight w:val="none"/>
          <w:lang w:val="en-US" w:eastAsia="zh-CN"/>
        </w:rPr>
        <w:t xml:space="preserve">              </w:t>
      </w:r>
      <w:r>
        <w:rPr>
          <w:rFonts w:hint="default" w:ascii="Times New Roman" w:hAnsi="Times New Roman" w:eastAsia="仿宋_GB2312" w:cs="Times New Roman"/>
          <w:sz w:val="28"/>
          <w:szCs w:val="28"/>
          <w:highlight w:val="none"/>
        </w:rPr>
        <w:t xml:space="preserve">  </w:t>
      </w:r>
      <w:r>
        <w:rPr>
          <w:rFonts w:hint="default" w:ascii="Times New Roman" w:hAnsi="Times New Roman" w:eastAsia="仿宋_GB2312" w:cs="Times New Roman"/>
          <w:sz w:val="28"/>
          <w:szCs w:val="28"/>
          <w:highlight w:val="none"/>
          <w:lang w:val="en-US" w:eastAsia="zh-CN"/>
        </w:rPr>
        <w:t xml:space="preserve">  </w:t>
      </w:r>
      <w:r>
        <w:rPr>
          <w:rFonts w:hint="default" w:ascii="Times New Roman" w:hAnsi="Times New Roman" w:eastAsia="仿宋_GB2312" w:cs="Times New Roman"/>
          <w:sz w:val="28"/>
          <w:szCs w:val="28"/>
          <w:highlight w:val="none"/>
        </w:rPr>
        <w:t xml:space="preserve"> 20</w:t>
      </w:r>
      <w:r>
        <w:rPr>
          <w:rFonts w:hint="default" w:ascii="Times New Roman" w:hAnsi="Times New Roman" w:eastAsia="仿宋_GB2312" w:cs="Times New Roman"/>
          <w:sz w:val="28"/>
          <w:szCs w:val="28"/>
          <w:highlight w:val="none"/>
          <w:lang w:val="en-US" w:eastAsia="zh-CN"/>
        </w:rPr>
        <w:t>22</w:t>
      </w:r>
      <w:r>
        <w:rPr>
          <w:rFonts w:hint="default" w:ascii="Times New Roman" w:hAnsi="Times New Roman" w:eastAsia="仿宋_GB2312" w:cs="Times New Roman"/>
          <w:sz w:val="28"/>
          <w:szCs w:val="28"/>
          <w:highlight w:val="none"/>
        </w:rPr>
        <w:t>年</w:t>
      </w:r>
      <w:r>
        <w:rPr>
          <w:rFonts w:hint="default" w:ascii="Times New Roman" w:hAnsi="Times New Roman" w:eastAsia="仿宋_GB2312" w:cs="Times New Roman"/>
          <w:sz w:val="28"/>
          <w:szCs w:val="28"/>
          <w:highlight w:val="none"/>
          <w:lang w:val="en-US" w:eastAsia="zh-CN"/>
        </w:rPr>
        <w:t>5</w:t>
      </w:r>
      <w:r>
        <w:rPr>
          <w:rFonts w:hint="default" w:ascii="Times New Roman" w:hAnsi="Times New Roman" w:eastAsia="仿宋_GB2312" w:cs="Times New Roman"/>
          <w:sz w:val="28"/>
          <w:szCs w:val="28"/>
          <w:highlight w:val="none"/>
        </w:rPr>
        <w:t>月</w:t>
      </w:r>
      <w:r>
        <w:rPr>
          <w:rFonts w:hint="eastAsia" w:ascii="Times New Roman" w:hAnsi="Times New Roman" w:eastAsia="仿宋_GB2312" w:cs="Times New Roman"/>
          <w:sz w:val="28"/>
          <w:szCs w:val="28"/>
          <w:highlight w:val="none"/>
          <w:lang w:val="en-US" w:eastAsia="zh-CN"/>
        </w:rPr>
        <w:t>17</w:t>
      </w:r>
      <w:r>
        <w:rPr>
          <w:rFonts w:hint="default" w:ascii="Times New Roman" w:hAnsi="Times New Roman" w:eastAsia="仿宋_GB2312" w:cs="Times New Roman"/>
          <w:sz w:val="28"/>
          <w:szCs w:val="28"/>
          <w:highlight w:val="none"/>
        </w:rPr>
        <w:t>日印发</w:t>
      </w:r>
      <w:r>
        <w:rPr>
          <w:rFonts w:hint="default" w:ascii="Times New Roman" w:hAnsi="Times New Roman" w:eastAsia="仿宋_GB2312" w:cs="Times New Roman"/>
          <w:sz w:val="32"/>
          <w:highlight w:val="none"/>
        </w:rPr>
        <w:t xml:space="preserve">     </w:t>
      </w:r>
    </w:p>
    <w:sectPr>
      <w:footerReference r:id="rId7" w:type="default"/>
      <w:pgSz w:w="11906" w:h="16838"/>
      <w:pgMar w:top="2098" w:right="1474" w:bottom="1984" w:left="1587" w:header="851" w:footer="1417" w:gutter="0"/>
      <w:pgNumType w:fmt="numberInDash" w:start="2"/>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Lines="0" w:afterLines="0"/>
      <w:rPr>
        <w:rFonts w:hint="eastAsia"/>
        <w:sz w:val="32"/>
        <w:szCs w:val="24"/>
      </w:rPr>
    </w:pPr>
    <w:r>
      <w:rPr>
        <w:rFonts w:hint="default"/>
        <w:sz w:val="32"/>
        <w:szCs w:val="24"/>
      </w:rPr>
      <mc:AlternateContent>
        <mc:Choice Requires="wps">
          <w:drawing>
            <wp:anchor distT="0" distB="0" distL="114300" distR="114300" simplePos="0" relativeHeight="251661312" behindDoc="0" locked="0" layoutInCell="1" allowOverlap="1">
              <wp:simplePos x="0" y="0"/>
              <wp:positionH relativeFrom="margin">
                <wp:posOffset>4843145</wp:posOffset>
              </wp:positionH>
              <wp:positionV relativeFrom="paragraph">
                <wp:posOffset>0</wp:posOffset>
              </wp:positionV>
              <wp:extent cx="1828800" cy="1828800"/>
              <wp:effectExtent l="0" t="0" r="0" b="0"/>
              <wp:wrapNone/>
              <wp:docPr id="6"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pacing w:beforeLines="0" w:afterLines="0"/>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vert="horz" wrap="none" lIns="0" tIns="0" rIns="0" bIns="0" anchor="t" anchorCtr="0" upright="1">
                      <a:spAutoFit/>
                    </wps:bodyPr>
                  </wps:wsp>
                </a:graphicData>
              </a:graphic>
            </wp:anchor>
          </w:drawing>
        </mc:Choice>
        <mc:Fallback>
          <w:pict>
            <v:shape id="文本框 23" o:spid="_x0000_s1026" o:spt="202" type="#_x0000_t202" style="position:absolute;left:0pt;margin-left:381.35pt;margin-top:0pt;height:144pt;width:144pt;mso-position-horizontal-relative:margin;mso-wrap-style:none;z-index:251661312;mso-width-relative:page;mso-height-relative:page;" filled="f" stroked="f" coordsize="21600,21600" o:gfxdata="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dqBuC9MAAAAJAQAADwAAAAAA&#10;AAABACAAAAAiAAAAZHJzL2Rvd25yZXYueG1sUEsBAhQAFAAAAAgAh07iQGnvKITfAQAAvwMAAA4A&#10;AAAAAAAAAQAgAAAAIgEAAGRycy9lMm9Eb2MueG1sUEsFBgAAAAAGAAYAWQEAAHMFAAAAAA==&#10;">
              <v:fill on="f" focussize="0,0"/>
              <v:stroke on="f"/>
              <v:imagedata o:title=""/>
              <o:lock v:ext="edit" aspectratio="f"/>
              <v:textbox inset="0mm,0mm,0mm,0mm" style="mso-fit-shape-to-text:t;">
                <w:txbxContent>
                  <w:p>
                    <w:pPr>
                      <w:spacing w:beforeLines="0" w:afterLines="0"/>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r>
      <w:rPr>
        <w:rFonts w:hint="default"/>
        <w:sz w:val="32"/>
        <w:szCs w:val="24"/>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pacing w:beforeLines="0" w:afterLines="0"/>
                            <w:rPr>
                              <w:rFonts w:hint="eastAsia"/>
                              <w:sz w:val="32"/>
                              <w:szCs w:val="24"/>
                              <w:lang w:eastAsia="zh-CN"/>
                            </w:rPr>
                          </w:pPr>
                        </w:p>
                      </w:txbxContent>
                    </wps:txbx>
                    <wps:bodyPr vert="horz" wrap="none" lIns="0" tIns="0" rIns="0" bIns="0" anchor="t" anchorCtr="0" upright="1">
                      <a:spAutoFit/>
                    </wps:bodyPr>
                  </wps:wsp>
                </a:graphicData>
              </a:graphic>
            </wp:anchor>
          </w:drawing>
        </mc:Choice>
        <mc:Fallback>
          <w:pict>
            <v:shape id="文本框 18"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IrlS63gEAAL8DAAAOAAAAAAAA&#10;AAEAIAAAAB4BAABkcnMvZTJvRG9jLnhtbFBLBQYAAAAABgAGAFkBAABuBQAAAAA=&#10;">
              <v:fill on="f" focussize="0,0"/>
              <v:stroke on="f"/>
              <v:imagedata o:title=""/>
              <o:lock v:ext="edit" aspectratio="f"/>
              <v:textbox inset="0mm,0mm,0mm,0mm" style="mso-fit-shape-to-text:t;">
                <w:txbxContent>
                  <w:p>
                    <w:pPr>
                      <w:spacing w:beforeLines="0" w:afterLines="0"/>
                      <w:rPr>
                        <w:rFonts w:hint="eastAsia"/>
                        <w:sz w:val="32"/>
                        <w:szCs w:val="24"/>
                        <w:lang w:eastAsia="zh-CN"/>
                      </w:rPr>
                    </w:pPr>
                  </w:p>
                </w:txbxContent>
              </v:textbox>
            </v:shape>
          </w:pict>
        </mc:Fallback>
      </mc:AlternateContent>
    </w:r>
    <w:r>
      <w:rPr>
        <w:rFonts w:hint="default"/>
        <w:sz w:val="32"/>
        <w:szCs w:val="24"/>
      </w:rPr>
      <mc:AlternateContent>
        <mc:Choice Requires="wps">
          <w:drawing>
            <wp:anchor distT="0" distB="0" distL="114300" distR="114300" simplePos="0" relativeHeight="251659264" behindDoc="0" locked="0" layoutInCell="1" allowOverlap="1">
              <wp:simplePos x="0" y="0"/>
              <wp:positionH relativeFrom="margin">
                <wp:posOffset>4354830</wp:posOffset>
              </wp:positionH>
              <wp:positionV relativeFrom="paragraph">
                <wp:posOffset>257175</wp:posOffset>
              </wp:positionV>
              <wp:extent cx="1189990" cy="382905"/>
              <wp:effectExtent l="0" t="0" r="0" b="0"/>
              <wp:wrapNone/>
              <wp:docPr id="8" name="文本框 14"/>
              <wp:cNvGraphicFramePr/>
              <a:graphic xmlns:a="http://schemas.openxmlformats.org/drawingml/2006/main">
                <a:graphicData uri="http://schemas.microsoft.com/office/word/2010/wordprocessingShape">
                  <wps:wsp>
                    <wps:cNvSpPr txBox="1"/>
                    <wps:spPr>
                      <a:xfrm>
                        <a:off x="0" y="0"/>
                        <a:ext cx="1189990" cy="382905"/>
                      </a:xfrm>
                      <a:prstGeom prst="rect">
                        <a:avLst/>
                      </a:prstGeom>
                      <a:noFill/>
                      <a:ln>
                        <a:noFill/>
                      </a:ln>
                    </wps:spPr>
                    <wps:txbx>
                      <w:txbxContent>
                        <w:p>
                          <w:pPr>
                            <w:spacing w:beforeLines="0" w:afterLines="0"/>
                            <w:rPr>
                              <w:rFonts w:hint="eastAsia"/>
                              <w:sz w:val="18"/>
                              <w:szCs w:val="24"/>
                              <w:lang w:eastAsia="zh-CN"/>
                            </w:rPr>
                          </w:pPr>
                        </w:p>
                      </w:txbxContent>
                    </wps:txbx>
                    <wps:bodyPr vert="horz" wrap="square" lIns="0" tIns="0" rIns="0" bIns="0" anchor="t" anchorCtr="0" upright="1"/>
                  </wps:wsp>
                </a:graphicData>
              </a:graphic>
            </wp:anchor>
          </w:drawing>
        </mc:Choice>
        <mc:Fallback>
          <w:pict>
            <v:shape id="文本框 14" o:spid="_x0000_s1026" o:spt="202" type="#_x0000_t202" style="position:absolute;left:0pt;margin-left:342.9pt;margin-top:20.25pt;height:30.15pt;width:93.7pt;mso-position-horizontal-relative:margin;z-index:251659264;mso-width-relative:page;mso-height-relative:page;" filled="f" stroked="f" coordsize="21600,21600" o:gfxdata="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GnIvl9kAAAAKAQAADwAAAAAA&#10;AAABACAAAAAiAAAAZHJzL2Rvd25yZXYueG1sUEsBAhQAFAAAAAgAh07iQNUlCm3ZAQAApgMAAA4A&#10;AAAAAAAAAQAgAAAAKAEAAGRycy9lMm9Eb2MueG1sUEsFBgAAAAAGAAYAWQEAAHMFAAAAAA==&#10;">
              <v:fill on="f" focussize="0,0"/>
              <v:stroke on="f"/>
              <v:imagedata o:title=""/>
              <o:lock v:ext="edit" aspectratio="f"/>
              <v:textbox inset="0mm,0mm,0mm,0mm">
                <w:txbxContent>
                  <w:p>
                    <w:pPr>
                      <w:spacing w:beforeLines="0" w:afterLines="0"/>
                      <w:rPr>
                        <w:rFonts w:hint="eastAsia"/>
                        <w:sz w:val="18"/>
                        <w:szCs w:val="24"/>
                        <w:lang w:eastAsia="zh-CN"/>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beforeLines="0" w:afterLines="0"/>
      <w:ind w:left="210" w:leftChars="100" w:right="210" w:rightChars="100"/>
      <w:jc w:val="both"/>
      <w:rPr>
        <w:rFonts w:hint="eastAsia" w:ascii="方正仿宋_GBK"/>
        <w:sz w:val="28"/>
        <w:szCs w:val="24"/>
      </w:rPr>
    </w:pPr>
    <w:r>
      <w:rPr>
        <w:rFonts w:hint="default"/>
        <w:sz w:val="28"/>
        <w:szCs w:val="24"/>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pacing w:beforeLines="0" w:afterLines="0"/>
                            <w:rPr>
                              <w:rFonts w:hint="eastAsia"/>
                              <w:sz w:val="18"/>
                              <w:szCs w:val="24"/>
                              <w:lang w:eastAsia="zh-CN"/>
                            </w:rPr>
                          </w:pPr>
                          <w:r>
                            <w:rPr>
                              <w:rFonts w:hint="eastAsia"/>
                              <w:sz w:val="18"/>
                              <w:szCs w:val="24"/>
                              <w:lang w:eastAsia="zh-CN"/>
                            </w:rPr>
                            <w:fldChar w:fldCharType="begin"/>
                          </w:r>
                          <w:r>
                            <w:rPr>
                              <w:rFonts w:hint="eastAsia"/>
                              <w:sz w:val="18"/>
                              <w:szCs w:val="24"/>
                              <w:lang w:eastAsia="zh-CN"/>
                            </w:rPr>
                            <w:instrText xml:space="preserve"> PAGE  \* MERGEFORMAT </w:instrText>
                          </w:r>
                          <w:r>
                            <w:rPr>
                              <w:rFonts w:hint="eastAsia"/>
                              <w:sz w:val="18"/>
                              <w:szCs w:val="24"/>
                              <w:lang w:eastAsia="zh-CN"/>
                            </w:rPr>
                            <w:fldChar w:fldCharType="separate"/>
                          </w:r>
                          <w:r>
                            <w:rPr>
                              <w:rFonts w:hint="default"/>
                              <w:sz w:val="18"/>
                              <w:szCs w:val="24"/>
                            </w:rPr>
                            <w:t>1</w:t>
                          </w:r>
                          <w:r>
                            <w:rPr>
                              <w:rFonts w:hint="default"/>
                              <w:sz w:val="18"/>
                              <w:szCs w:val="24"/>
                            </w:rPr>
                            <w:fldChar w:fldCharType="end"/>
                          </w:r>
                        </w:p>
                      </w:txbxContent>
                    </wps:txbx>
                    <wps:bodyPr vert="horz" wrap="none" lIns="0" tIns="0" rIns="0" bIns="0" anchor="t" anchorCtr="0" upright="1">
                      <a:spAutoFit/>
                    </wps:bodyPr>
                  </wps:wsp>
                </a:graphicData>
              </a:graphic>
            </wp:anchor>
          </w:drawing>
        </mc:Choice>
        <mc:Fallback>
          <w:pict>
            <v:shape id="文本框 24"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A1+BrN8BAAC/AwAADgAAAAAA&#10;AAABACAAAAAeAQAAZHJzL2Uyb0RvYy54bWxQSwUGAAAAAAYABgBZAQAAbwUAAAAA&#10;">
              <v:fill on="f" focussize="0,0"/>
              <v:stroke on="f"/>
              <v:imagedata o:title=""/>
              <o:lock v:ext="edit" aspectratio="f"/>
              <v:textbox inset="0mm,0mm,0mm,0mm" style="mso-fit-shape-to-text:t;">
                <w:txbxContent>
                  <w:p>
                    <w:pPr>
                      <w:spacing w:beforeLines="0" w:afterLines="0"/>
                      <w:rPr>
                        <w:rFonts w:hint="eastAsia"/>
                        <w:sz w:val="18"/>
                        <w:szCs w:val="24"/>
                        <w:lang w:eastAsia="zh-CN"/>
                      </w:rPr>
                    </w:pPr>
                    <w:r>
                      <w:rPr>
                        <w:rFonts w:hint="eastAsia"/>
                        <w:sz w:val="18"/>
                        <w:szCs w:val="24"/>
                        <w:lang w:eastAsia="zh-CN"/>
                      </w:rPr>
                      <w:fldChar w:fldCharType="begin"/>
                    </w:r>
                    <w:r>
                      <w:rPr>
                        <w:rFonts w:hint="eastAsia"/>
                        <w:sz w:val="18"/>
                        <w:szCs w:val="24"/>
                        <w:lang w:eastAsia="zh-CN"/>
                      </w:rPr>
                      <w:instrText xml:space="preserve"> PAGE  \* MERGEFORMAT </w:instrText>
                    </w:r>
                    <w:r>
                      <w:rPr>
                        <w:rFonts w:hint="eastAsia"/>
                        <w:sz w:val="18"/>
                        <w:szCs w:val="24"/>
                        <w:lang w:eastAsia="zh-CN"/>
                      </w:rPr>
                      <w:fldChar w:fldCharType="separate"/>
                    </w:r>
                    <w:r>
                      <w:rPr>
                        <w:rFonts w:hint="default"/>
                        <w:sz w:val="18"/>
                        <w:szCs w:val="24"/>
                      </w:rPr>
                      <w:t>1</w:t>
                    </w:r>
                    <w:r>
                      <w:rPr>
                        <w:rFonts w:hint="default"/>
                        <w:sz w:val="18"/>
                        <w:szCs w:val="24"/>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Lines="0" w:afterLines="0"/>
      <w:rPr>
        <w:rFonts w:hint="eastAsia"/>
        <w:sz w:val="32"/>
        <w:szCs w:val="24"/>
      </w:rPr>
    </w:pPr>
    <w:r>
      <w:rPr>
        <w:rFonts w:hint="default"/>
        <w:sz w:val="32"/>
        <w:szCs w:val="24"/>
      </w:rPr>
      <mc:AlternateContent>
        <mc:Choice Requires="wps">
          <w:drawing>
            <wp:anchor distT="0" distB="0" distL="114300" distR="114300" simplePos="0" relativeHeight="251665408" behindDoc="0" locked="0" layoutInCell="1" allowOverlap="1">
              <wp:simplePos x="0" y="0"/>
              <wp:positionH relativeFrom="margin">
                <wp:posOffset>4843145</wp:posOffset>
              </wp:positionH>
              <wp:positionV relativeFrom="paragraph">
                <wp:posOffset>0</wp:posOffset>
              </wp:positionV>
              <wp:extent cx="1828800" cy="1828800"/>
              <wp:effectExtent l="0" t="0" r="0" b="0"/>
              <wp:wrapNone/>
              <wp:docPr id="10"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pacing w:beforeLines="0" w:afterLines="0"/>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vert="horz" wrap="none" lIns="0" tIns="0" rIns="0" bIns="0" anchor="t" anchorCtr="0" upright="1">
                      <a:spAutoFit/>
                    </wps:bodyPr>
                  </wps:wsp>
                </a:graphicData>
              </a:graphic>
            </wp:anchor>
          </w:drawing>
        </mc:Choice>
        <mc:Fallback>
          <w:pict>
            <v:shape id="文本框 23" o:spid="_x0000_s1026" o:spt="202" type="#_x0000_t202" style="position:absolute;left:0pt;margin-left:381.35pt;margin-top:0pt;height:144pt;width:144pt;mso-position-horizontal-relative:margin;mso-wrap-style:none;z-index:251665408;mso-width-relative:page;mso-height-relative:page;" filled="f" stroked="f" coordsize="21600,21600" o:gfxdata="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2oG4L0wAAAAkBAAAPAAAAAAAA&#10;AAEAIAAAACIAAABkcnMvZG93bnJldi54bWxQSwECFAAUAAAACACHTuJAb/hPtN4BAADAAwAADgAA&#10;AAAAAAABACAAAAAiAQAAZHJzL2Uyb0RvYy54bWxQSwUGAAAAAAYABgBZAQAAcgUAAAAA&#10;">
              <v:fill on="f" focussize="0,0"/>
              <v:stroke on="f"/>
              <v:imagedata o:title=""/>
              <o:lock v:ext="edit" aspectratio="f"/>
              <v:textbox inset="0mm,0mm,0mm,0mm" style="mso-fit-shape-to-text:t;">
                <w:txbxContent>
                  <w:p>
                    <w:pPr>
                      <w:spacing w:beforeLines="0" w:afterLines="0"/>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r>
      <w:rPr>
        <w:rFonts w:hint="default"/>
        <w:sz w:val="32"/>
        <w:szCs w:val="24"/>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pacing w:beforeLines="0" w:afterLines="0"/>
                            <w:rPr>
                              <w:rFonts w:hint="eastAsia"/>
                              <w:sz w:val="32"/>
                              <w:szCs w:val="24"/>
                              <w:lang w:eastAsia="zh-CN"/>
                            </w:rPr>
                          </w:pPr>
                        </w:p>
                      </w:txbxContent>
                    </wps:txbx>
                    <wps:bodyPr vert="horz" wrap="none" lIns="0" tIns="0" rIns="0" bIns="0" anchor="t" anchorCtr="0" upright="1">
                      <a:spAutoFit/>
                    </wps:bodyPr>
                  </wps:wsp>
                </a:graphicData>
              </a:graphic>
            </wp:anchor>
          </w:drawing>
        </mc:Choice>
        <mc:Fallback>
          <w:pict>
            <v:shape id="文本框 18"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OuTOK3gEAAMADAAAOAAAAAAAA&#10;AAEAIAAAAB4BAABkcnMvZTJvRG9jLnhtbFBLBQYAAAAABgAGAFkBAABuBQAAAAA=&#10;">
              <v:fill on="f" focussize="0,0"/>
              <v:stroke on="f"/>
              <v:imagedata o:title=""/>
              <o:lock v:ext="edit" aspectratio="f"/>
              <v:textbox inset="0mm,0mm,0mm,0mm" style="mso-fit-shape-to-text:t;">
                <w:txbxContent>
                  <w:p>
                    <w:pPr>
                      <w:spacing w:beforeLines="0" w:afterLines="0"/>
                      <w:rPr>
                        <w:rFonts w:hint="eastAsia"/>
                        <w:sz w:val="32"/>
                        <w:szCs w:val="24"/>
                        <w:lang w:eastAsia="zh-CN"/>
                      </w:rPr>
                    </w:pPr>
                  </w:p>
                </w:txbxContent>
              </v:textbox>
            </v:shape>
          </w:pict>
        </mc:Fallback>
      </mc:AlternateContent>
    </w:r>
    <w:r>
      <w:rPr>
        <w:rFonts w:hint="default"/>
        <w:sz w:val="32"/>
        <w:szCs w:val="24"/>
      </w:rPr>
      <mc:AlternateContent>
        <mc:Choice Requires="wps">
          <w:drawing>
            <wp:anchor distT="0" distB="0" distL="114300" distR="114300" simplePos="0" relativeHeight="251663360" behindDoc="0" locked="0" layoutInCell="1" allowOverlap="1">
              <wp:simplePos x="0" y="0"/>
              <wp:positionH relativeFrom="margin">
                <wp:posOffset>4354830</wp:posOffset>
              </wp:positionH>
              <wp:positionV relativeFrom="paragraph">
                <wp:posOffset>257175</wp:posOffset>
              </wp:positionV>
              <wp:extent cx="1189990" cy="382905"/>
              <wp:effectExtent l="0" t="0" r="0" b="0"/>
              <wp:wrapNone/>
              <wp:docPr id="12" name="文本框 14"/>
              <wp:cNvGraphicFramePr/>
              <a:graphic xmlns:a="http://schemas.openxmlformats.org/drawingml/2006/main">
                <a:graphicData uri="http://schemas.microsoft.com/office/word/2010/wordprocessingShape">
                  <wps:wsp>
                    <wps:cNvSpPr txBox="1"/>
                    <wps:spPr>
                      <a:xfrm>
                        <a:off x="0" y="0"/>
                        <a:ext cx="1189990" cy="382905"/>
                      </a:xfrm>
                      <a:prstGeom prst="rect">
                        <a:avLst/>
                      </a:prstGeom>
                      <a:noFill/>
                      <a:ln>
                        <a:noFill/>
                      </a:ln>
                    </wps:spPr>
                    <wps:txbx>
                      <w:txbxContent>
                        <w:p>
                          <w:pPr>
                            <w:spacing w:beforeLines="0" w:afterLines="0"/>
                            <w:rPr>
                              <w:rFonts w:hint="eastAsia"/>
                              <w:sz w:val="18"/>
                              <w:szCs w:val="24"/>
                              <w:lang w:eastAsia="zh-CN"/>
                            </w:rPr>
                          </w:pPr>
                        </w:p>
                      </w:txbxContent>
                    </wps:txbx>
                    <wps:bodyPr vert="horz" wrap="square" lIns="0" tIns="0" rIns="0" bIns="0" anchor="t" anchorCtr="0" upright="1"/>
                  </wps:wsp>
                </a:graphicData>
              </a:graphic>
            </wp:anchor>
          </w:drawing>
        </mc:Choice>
        <mc:Fallback>
          <w:pict>
            <v:shape id="文本框 14" o:spid="_x0000_s1026" o:spt="202" type="#_x0000_t202" style="position:absolute;left:0pt;margin-left:342.9pt;margin-top:20.25pt;height:30.15pt;width:93.7pt;mso-position-horizontal-relative:margin;z-index:251663360;mso-width-relative:page;mso-height-relative:page;" filled="f" stroked="f" coordsize="21600,21600" o:gfxdata="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GnIvl9kAAAAKAQAADwAAAAAA&#10;AAABACAAAAAiAAAAZHJzL2Rvd25yZXYueG1sUEsBAhQAFAAAAAgAh07iQJn/LF3ZAQAApwMAAA4A&#10;AAAAAAAAAQAgAAAAKAEAAGRycy9lMm9Eb2MueG1sUEsFBgAAAAAGAAYAWQEAAHMFAAAAAA==&#10;">
              <v:fill on="f" focussize="0,0"/>
              <v:stroke on="f"/>
              <v:imagedata o:title=""/>
              <o:lock v:ext="edit" aspectratio="f"/>
              <v:textbox inset="0mm,0mm,0mm,0mm">
                <w:txbxContent>
                  <w:p>
                    <w:pPr>
                      <w:spacing w:beforeLines="0" w:afterLines="0"/>
                      <w:rPr>
                        <w:rFonts w:hint="eastAsia"/>
                        <w:sz w:val="18"/>
                        <w:szCs w:val="24"/>
                        <w:lang w:eastAsia="zh-CN"/>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spacing w:beforeLines="0" w:afterLines="0"/>
      <w:rPr>
        <w:rFonts w:hint="default"/>
        <w:sz w:val="18"/>
        <w:szCs w:val="24"/>
      </w:rPr>
    </w:pPr>
  </w:p>
  <w:p>
    <w:pPr>
      <w:spacing w:beforeLines="0" w:afterLines="0"/>
      <w:rPr>
        <w:rFonts w:hint="default"/>
        <w:sz w:val="32"/>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spacing w:beforeLines="0" w:afterLines="0"/>
      <w:rPr>
        <w:rFonts w:hint="default"/>
        <w:sz w:val="18"/>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420"/>
  <w:hyphenationZone w:val="360"/>
  <w:evenAndOddHeaders w:val="1"/>
  <w:drawingGridHorizontalSpacing w:val="162"/>
  <w:drawingGridVerticalSpacing w:val="290"/>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EyN2ViZjJlNWRmNzU5N2NlZmE5MmY2MGZiYmEyMzQifQ=="/>
  </w:docVars>
  <w:rsids>
    <w:rsidRoot w:val="00172A27"/>
    <w:rsid w:val="009B30EB"/>
    <w:rsid w:val="077F6293"/>
    <w:rsid w:val="07DE164D"/>
    <w:rsid w:val="08EB5679"/>
    <w:rsid w:val="0A132443"/>
    <w:rsid w:val="0BB22459"/>
    <w:rsid w:val="0D7B7403"/>
    <w:rsid w:val="0DFA5A98"/>
    <w:rsid w:val="0F936163"/>
    <w:rsid w:val="10D12E25"/>
    <w:rsid w:val="111222C4"/>
    <w:rsid w:val="126346DA"/>
    <w:rsid w:val="12CF2A8C"/>
    <w:rsid w:val="13220DC4"/>
    <w:rsid w:val="156C55BC"/>
    <w:rsid w:val="187C27F6"/>
    <w:rsid w:val="1AAE651A"/>
    <w:rsid w:val="1BDE694B"/>
    <w:rsid w:val="1CE338E3"/>
    <w:rsid w:val="1D9B1D38"/>
    <w:rsid w:val="22C53FAD"/>
    <w:rsid w:val="2441090D"/>
    <w:rsid w:val="24C55EF5"/>
    <w:rsid w:val="26886E74"/>
    <w:rsid w:val="285A1E84"/>
    <w:rsid w:val="2A103279"/>
    <w:rsid w:val="2AA4545A"/>
    <w:rsid w:val="2B26093E"/>
    <w:rsid w:val="2CB4309C"/>
    <w:rsid w:val="2CDB2ABE"/>
    <w:rsid w:val="2F510429"/>
    <w:rsid w:val="31821ED3"/>
    <w:rsid w:val="338F7253"/>
    <w:rsid w:val="34CF6607"/>
    <w:rsid w:val="36EB376B"/>
    <w:rsid w:val="38AF3731"/>
    <w:rsid w:val="39B14775"/>
    <w:rsid w:val="3A1E3138"/>
    <w:rsid w:val="3ADB36D5"/>
    <w:rsid w:val="3BFD04C4"/>
    <w:rsid w:val="3C891394"/>
    <w:rsid w:val="3D2C64BC"/>
    <w:rsid w:val="4097263D"/>
    <w:rsid w:val="41D90201"/>
    <w:rsid w:val="44BC5ABE"/>
    <w:rsid w:val="4579583C"/>
    <w:rsid w:val="45CC1DE9"/>
    <w:rsid w:val="47522135"/>
    <w:rsid w:val="48D27556"/>
    <w:rsid w:val="4BF01ACD"/>
    <w:rsid w:val="4E606D65"/>
    <w:rsid w:val="4E6600F3"/>
    <w:rsid w:val="4EAC63D0"/>
    <w:rsid w:val="4F96576C"/>
    <w:rsid w:val="531A0579"/>
    <w:rsid w:val="53404CD9"/>
    <w:rsid w:val="534A10BD"/>
    <w:rsid w:val="541568DC"/>
    <w:rsid w:val="54626416"/>
    <w:rsid w:val="54B41FF7"/>
    <w:rsid w:val="55470335"/>
    <w:rsid w:val="56D022BE"/>
    <w:rsid w:val="5A197D20"/>
    <w:rsid w:val="5B59006C"/>
    <w:rsid w:val="5D5C6D11"/>
    <w:rsid w:val="63CA0F33"/>
    <w:rsid w:val="65D262A6"/>
    <w:rsid w:val="685433B3"/>
    <w:rsid w:val="68791824"/>
    <w:rsid w:val="6EE978A4"/>
    <w:rsid w:val="71F93CFE"/>
    <w:rsid w:val="73F51BE0"/>
    <w:rsid w:val="772E08B5"/>
    <w:rsid w:val="7AF01F7D"/>
    <w:rsid w:val="7E675F9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10"/>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1"/>
    <w:semiHidden/>
    <w:unhideWhenUsed/>
    <w:qFormat/>
    <w:uiPriority w:val="99"/>
    <w:pPr>
      <w:spacing w:after="120" w:afterLines="0" w:afterAutospacing="0"/>
    </w:p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0"/>
    <w:pPr>
      <w:widowControl/>
      <w:overflowPunct w:val="0"/>
      <w:adjustRightInd w:val="0"/>
      <w:snapToGrid/>
      <w:spacing w:before="100" w:beforeLines="0" w:beforeAutospacing="1" w:after="100" w:afterLines="0" w:afterAutospacing="1" w:line="240" w:lineRule="auto"/>
      <w:ind w:firstLine="0"/>
      <w:jc w:val="left"/>
      <w:textAlignment w:val="baseline"/>
    </w:pPr>
    <w:rPr>
      <w:rFonts w:hint="default" w:eastAsia="宋体"/>
      <w:snapToGrid/>
      <w:sz w:val="24"/>
      <w:szCs w:val="24"/>
      <w:lang w:eastAsia="zh-CN"/>
    </w:rPr>
  </w:style>
  <w:style w:type="paragraph" w:styleId="6">
    <w:name w:val="Title"/>
    <w:basedOn w:val="1"/>
    <w:qFormat/>
    <w:uiPriority w:val="10"/>
    <w:pPr>
      <w:spacing w:before="240" w:beforeLines="0" w:beforeAutospacing="0" w:after="60" w:afterLines="0" w:afterAutospacing="0"/>
      <w:jc w:val="center"/>
      <w:outlineLvl w:val="0"/>
    </w:pPr>
    <w:rPr>
      <w:rFonts w:ascii="Arial" w:hAnsi="Arial"/>
      <w:b/>
      <w:sz w:val="32"/>
    </w:rPr>
  </w:style>
  <w:style w:type="paragraph" w:customStyle="1" w:styleId="9">
    <w:name w:val="Heading2"/>
    <w:next w:val="1"/>
    <w:qFormat/>
    <w:uiPriority w:val="0"/>
    <w:pPr>
      <w:keepNext/>
      <w:keepLines/>
      <w:widowControl w:val="0"/>
      <w:spacing w:before="260" w:after="260" w:line="416" w:lineRule="auto"/>
      <w:jc w:val="both"/>
      <w:textAlignment w:val="baseline"/>
    </w:pPr>
    <w:rPr>
      <w:rFonts w:ascii="Arial" w:hAnsi="Arial" w:eastAsia="黑体" w:cs="Times New Roman"/>
      <w:b/>
      <w:bCs/>
      <w:kern w:val="2"/>
      <w:sz w:val="32"/>
      <w:szCs w:val="32"/>
      <w:lang w:val="en-US" w:eastAsia="zh-CN" w:bidi="ar-SA"/>
    </w:rPr>
  </w:style>
  <w:style w:type="character" w:customStyle="1" w:styleId="10">
    <w:name w:val="NormalCharacter"/>
    <w:link w:val="1"/>
    <w:semiHidden/>
    <w:qFormat/>
    <w:uiPriority w:val="0"/>
    <w:rPr>
      <w:rFonts w:ascii="Calibri" w:hAnsi="Calibri" w:eastAsia="宋体" w:cs="Times New Roman"/>
      <w:kern w:val="2"/>
      <w:sz w:val="21"/>
      <w:szCs w:val="24"/>
      <w:lang w:val="en-US" w:eastAsia="zh-CN" w:bidi="ar-SA"/>
    </w:rPr>
  </w:style>
  <w:style w:type="paragraph" w:customStyle="1" w:styleId="11">
    <w:name w:val="HtmlNormal"/>
    <w:basedOn w:val="1"/>
    <w:qFormat/>
    <w:uiPriority w:val="0"/>
    <w:pPr>
      <w:widowControl/>
      <w:spacing w:before="100" w:beforeAutospacing="1" w:after="100" w:afterAutospacing="1"/>
      <w:ind w:left="0" w:right="0"/>
      <w:jc w:val="left"/>
      <w:textAlignment w:val="baseline"/>
    </w:pPr>
    <w:rPr>
      <w:rFonts w:ascii="宋体" w:hAnsi="宋体" w:eastAsia="宋体"/>
      <w:kern w:val="0"/>
      <w:sz w:val="24"/>
      <w:szCs w:val="24"/>
      <w:lang w:val="en-US" w:eastAsia="zh-CN"/>
    </w:rPr>
  </w:style>
  <w:style w:type="paragraph" w:customStyle="1" w:styleId="12">
    <w:name w:val="UserStyle_2"/>
    <w:next w:val="1"/>
    <w:qFormat/>
    <w:uiPriority w:val="0"/>
    <w:pPr>
      <w:widowControl/>
      <w:ind w:firstLine="200"/>
      <w:jc w:val="both"/>
      <w:textAlignment w:val="baseline"/>
    </w:pPr>
    <w:rPr>
      <w:rFonts w:ascii="宋体" w:hAnsi="Calibri" w:eastAsia="宋体" w:cstheme="minorBidi"/>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9201</Words>
  <Characters>9420</Characters>
  <Lines>0</Lines>
  <Paragraphs>0</Paragraphs>
  <TotalTime>10</TotalTime>
  <ScaleCrop>false</ScaleCrop>
  <LinksUpToDate>false</LinksUpToDate>
  <CharactersWithSpaces>9516</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2021-03-01T08:21:00Z</dcterms:created>
  <dc:creator>宋正琦</dc:creator>
  <cp:lastModifiedBy>杨坚</cp:lastModifiedBy>
  <cp:lastPrinted>2022-01-10T01:33:00Z</cp:lastPrinted>
  <dcterms:modified xsi:type="dcterms:W3CDTF">2022-05-17T09:29:57Z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KSOSaveFontToCloudKey">
    <vt:lpwstr>0_cloud</vt:lpwstr>
  </property>
  <property fmtid="{D5CDD505-2E9C-101B-9397-08002B2CF9AE}" pid="4" name="ICV">
    <vt:lpwstr>AA977FB2A42F45D0A8354587F0550AAB</vt:lpwstr>
  </property>
</Properties>
</file>