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440" w:lineRule="exact"/>
        <w:rPr>
          <w:rFonts w:eastAsia="黑体"/>
          <w:color w:val="000000" w:themeColor="text1"/>
          <w:spacing w:val="12"/>
          <w:sz w:val="28"/>
          <w:szCs w:val="28"/>
          <w14:textFill>
            <w14:solidFill>
              <w14:schemeClr w14:val="tx1"/>
            </w14:solidFill>
          </w14:textFill>
        </w:rPr>
      </w:pPr>
      <w:r>
        <w:rPr>
          <w:rFonts w:eastAsia="黑体"/>
          <w:color w:val="000000" w:themeColor="text1"/>
          <w:spacing w:val="12"/>
          <w:sz w:val="28"/>
          <w:szCs w:val="28"/>
          <w14:textFill>
            <w14:solidFill>
              <w14:schemeClr w14:val="tx1"/>
            </w14:solidFill>
          </w14:textFill>
        </w:rPr>
        <w:t>金湖县十五届人大</w:t>
      </w:r>
    </w:p>
    <w:p>
      <w:pPr>
        <w:overflowPunct w:val="0"/>
        <w:spacing w:line="440" w:lineRule="exact"/>
        <w:rPr>
          <w:rFonts w:eastAsia="黑体"/>
          <w:color w:val="000000" w:themeColor="text1"/>
          <w:spacing w:val="64"/>
          <w:sz w:val="24"/>
          <w:szCs w:val="24"/>
          <w14:textFill>
            <w14:solidFill>
              <w14:schemeClr w14:val="tx1"/>
            </w14:solidFill>
          </w14:textFill>
        </w:rPr>
      </w:pPr>
      <w:r>
        <w:rPr>
          <w:rFonts w:eastAsia="黑体"/>
          <w:color w:val="000000" w:themeColor="text1"/>
          <w:spacing w:val="71"/>
          <w:sz w:val="28"/>
          <w:szCs w:val="28"/>
          <w14:textFill>
            <w14:solidFill>
              <w14:schemeClr w14:val="tx1"/>
            </w14:solidFill>
          </w14:textFill>
        </w:rPr>
        <w:t>二次会议文件</w:t>
      </w:r>
    </w:p>
    <w:p>
      <w:pPr>
        <w:spacing w:line="560" w:lineRule="exact"/>
        <w:ind w:firstLine="920" w:firstLineChars="200"/>
        <w:rPr>
          <w:rFonts w:eastAsia="方正大标宋简体"/>
          <w:b/>
          <w:bCs/>
          <w:color w:val="000000" w:themeColor="text1"/>
          <w:spacing w:val="10"/>
          <w:sz w:val="44"/>
          <w:szCs w:val="44"/>
          <w14:textFill>
            <w14:solidFill>
              <w14:schemeClr w14:val="tx1"/>
            </w14:solidFill>
          </w14:textFill>
        </w:rPr>
      </w:pPr>
    </w:p>
    <w:p>
      <w:pPr>
        <w:spacing w:line="560" w:lineRule="exact"/>
        <w:jc w:val="center"/>
        <w:rPr>
          <w:rFonts w:eastAsia="方正小标宋_GBK"/>
          <w:color w:val="000000" w:themeColor="text1"/>
          <w:sz w:val="44"/>
          <w:szCs w:val="44"/>
          <w14:textFill>
            <w14:solidFill>
              <w14:schemeClr w14:val="tx1"/>
            </w14:solidFill>
          </w14:textFill>
        </w:rPr>
      </w:pPr>
      <w:r>
        <w:rPr>
          <w:rFonts w:eastAsia="方正小标宋_GBK"/>
          <w:color w:val="000000" w:themeColor="text1"/>
          <w:sz w:val="44"/>
          <w:szCs w:val="44"/>
          <w14:textFill>
            <w14:solidFill>
              <w14:schemeClr w14:val="tx1"/>
            </w14:solidFill>
          </w14:textFill>
        </w:rPr>
        <w:t>关于金湖县2022年财政预算执行情况</w:t>
      </w:r>
    </w:p>
    <w:p>
      <w:pPr>
        <w:spacing w:line="560" w:lineRule="exact"/>
        <w:jc w:val="center"/>
        <w:rPr>
          <w:rFonts w:eastAsia="方正小标宋_GBK"/>
          <w:b/>
          <w:bCs/>
          <w:color w:val="000000" w:themeColor="text1"/>
          <w:sz w:val="44"/>
          <w:szCs w:val="44"/>
          <w14:textFill>
            <w14:solidFill>
              <w14:schemeClr w14:val="tx1"/>
            </w14:solidFill>
          </w14:textFill>
        </w:rPr>
      </w:pPr>
      <w:r>
        <w:rPr>
          <w:rFonts w:eastAsia="方正小标宋_GBK"/>
          <w:color w:val="000000" w:themeColor="text1"/>
          <w:sz w:val="44"/>
          <w:szCs w:val="44"/>
          <w14:textFill>
            <w14:solidFill>
              <w14:schemeClr w14:val="tx1"/>
            </w14:solidFill>
          </w14:textFill>
        </w:rPr>
        <w:t>和2023年财政预算（草案）的报告</w:t>
      </w:r>
    </w:p>
    <w:p>
      <w:pPr>
        <w:spacing w:before="313" w:beforeLines="100" w:line="560" w:lineRule="exact"/>
        <w:rPr>
          <w:rFonts w:eastAsia="楷体_GB2312"/>
          <w:color w:val="000000" w:themeColor="text1"/>
          <w:sz w:val="28"/>
          <w:szCs w:val="28"/>
          <w14:textFill>
            <w14:solidFill>
              <w14:schemeClr w14:val="tx1"/>
            </w14:solidFill>
          </w14:textFill>
        </w:rPr>
      </w:pPr>
      <w:r>
        <w:rPr>
          <w:rFonts w:eastAsia="楷体_GB2312"/>
          <w:color w:val="000000" w:themeColor="text1"/>
          <w:sz w:val="28"/>
          <w:szCs w:val="28"/>
          <w14:textFill>
            <w14:solidFill>
              <w14:schemeClr w14:val="tx1"/>
            </w14:solidFill>
          </w14:textFill>
        </w:rPr>
        <w:t>——2023年</w:t>
      </w:r>
      <w:r>
        <w:rPr>
          <w:rFonts w:hint="eastAsia" w:eastAsia="楷体_GB2312"/>
          <w:color w:val="000000" w:themeColor="text1"/>
          <w:sz w:val="28"/>
          <w:szCs w:val="28"/>
          <w14:textFill>
            <w14:solidFill>
              <w14:schemeClr w14:val="tx1"/>
            </w14:solidFill>
          </w14:textFill>
        </w:rPr>
        <w:t>1</w:t>
      </w:r>
      <w:r>
        <w:rPr>
          <w:rFonts w:eastAsia="楷体_GB2312"/>
          <w:color w:val="000000" w:themeColor="text1"/>
          <w:sz w:val="28"/>
          <w:szCs w:val="28"/>
          <w14:textFill>
            <w14:solidFill>
              <w14:schemeClr w14:val="tx1"/>
            </w14:solidFill>
          </w14:textFill>
        </w:rPr>
        <w:t>月</w:t>
      </w:r>
      <w:r>
        <w:rPr>
          <w:rFonts w:hint="eastAsia" w:eastAsia="楷体_GB2312"/>
          <w:color w:val="000000" w:themeColor="text1"/>
          <w:sz w:val="28"/>
          <w:szCs w:val="28"/>
          <w14:textFill>
            <w14:solidFill>
              <w14:schemeClr w14:val="tx1"/>
            </w14:solidFill>
          </w14:textFill>
        </w:rPr>
        <w:t>2</w:t>
      </w:r>
      <w:r>
        <w:rPr>
          <w:rFonts w:eastAsia="楷体_GB2312"/>
          <w:color w:val="000000" w:themeColor="text1"/>
          <w:sz w:val="28"/>
          <w:szCs w:val="28"/>
          <w14:textFill>
            <w14:solidFill>
              <w14:schemeClr w14:val="tx1"/>
            </w14:solidFill>
          </w14:textFill>
        </w:rPr>
        <w:t>日在金湖县第十五届人民代表大会第二次会议上</w:t>
      </w:r>
    </w:p>
    <w:p>
      <w:pPr>
        <w:spacing w:before="313" w:beforeLines="100" w:line="560" w:lineRule="exact"/>
        <w:jc w:val="center"/>
        <w:rPr>
          <w:rFonts w:eastAsia="楷体_GB2312"/>
          <w:color w:val="000000" w:themeColor="text1"/>
          <w:spacing w:val="10"/>
          <w:sz w:val="32"/>
          <w:szCs w:val="32"/>
          <w14:textFill>
            <w14:solidFill>
              <w14:schemeClr w14:val="tx1"/>
            </w14:solidFill>
          </w14:textFill>
        </w:rPr>
      </w:pPr>
      <w:r>
        <w:rPr>
          <w:rFonts w:eastAsia="楷体_GB2312"/>
          <w:color w:val="000000" w:themeColor="text1"/>
          <w:spacing w:val="10"/>
          <w:sz w:val="32"/>
          <w:szCs w:val="32"/>
          <w14:textFill>
            <w14:solidFill>
              <w14:schemeClr w14:val="tx1"/>
            </w14:solidFill>
          </w14:textFill>
        </w:rPr>
        <w:t>县财政局局长  王雪峰</w:t>
      </w:r>
    </w:p>
    <w:p>
      <w:pPr>
        <w:spacing w:line="560" w:lineRule="exact"/>
        <w:ind w:firstLine="640" w:firstLineChars="200"/>
        <w:rPr>
          <w:rFonts w:eastAsia="仿宋_GB2312"/>
          <w:color w:val="000000" w:themeColor="text1"/>
          <w:spacing w:val="20"/>
          <w:sz w:val="28"/>
          <w:szCs w:val="28"/>
          <w14:textFill>
            <w14:solidFill>
              <w14:schemeClr w14:val="tx1"/>
            </w14:solidFill>
          </w14:textFill>
        </w:rPr>
      </w:pPr>
    </w:p>
    <w:p>
      <w:pPr>
        <w:adjustRightInd w:val="0"/>
        <w:snapToGrid w:val="0"/>
        <w:spacing w:line="560" w:lineRule="exact"/>
        <w:rPr>
          <w:rFonts w:eastAsia="仿宋_GB2312"/>
          <w:snapToGrid w:val="0"/>
          <w:color w:val="000000" w:themeColor="text1"/>
          <w:sz w:val="32"/>
          <w:szCs w:val="32"/>
          <w14:textFill>
            <w14:solidFill>
              <w14:schemeClr w14:val="tx1"/>
            </w14:solidFill>
          </w14:textFill>
        </w:rPr>
      </w:pPr>
      <w:r>
        <w:rPr>
          <w:rFonts w:eastAsia="仿宋_GB2312"/>
          <w:snapToGrid w:val="0"/>
          <w:color w:val="000000" w:themeColor="text1"/>
          <w:sz w:val="32"/>
          <w:szCs w:val="32"/>
          <w14:textFill>
            <w14:solidFill>
              <w14:schemeClr w14:val="tx1"/>
            </w14:solidFill>
          </w14:textFill>
        </w:rPr>
        <w:t>各位代表:</w:t>
      </w:r>
    </w:p>
    <w:p>
      <w:pPr>
        <w:adjustRightInd w:val="0"/>
        <w:snapToGrid w:val="0"/>
        <w:spacing w:line="560" w:lineRule="exact"/>
        <w:ind w:firstLine="640" w:firstLineChars="200"/>
        <w:rPr>
          <w:rFonts w:eastAsia="仿宋_GB2312"/>
          <w:snapToGrid w:val="0"/>
          <w:color w:val="000000" w:themeColor="text1"/>
          <w:sz w:val="32"/>
          <w:szCs w:val="32"/>
          <w14:textFill>
            <w14:solidFill>
              <w14:schemeClr w14:val="tx1"/>
            </w14:solidFill>
          </w14:textFill>
        </w:rPr>
      </w:pPr>
      <w:r>
        <w:rPr>
          <w:rFonts w:eastAsia="仿宋_GB2312"/>
          <w:snapToGrid w:val="0"/>
          <w:color w:val="000000" w:themeColor="text1"/>
          <w:sz w:val="32"/>
          <w:szCs w:val="32"/>
          <w14:textFill>
            <w14:solidFill>
              <w14:schemeClr w14:val="tx1"/>
            </w14:solidFill>
          </w14:textFill>
        </w:rPr>
        <w:t>我受县人民政府委托，向大会报告我县2022年财政预算执行情况和2023年财政预算（草案），请予审议，并请政协委员和列席同志提出意见。</w:t>
      </w:r>
    </w:p>
    <w:p>
      <w:pPr>
        <w:adjustRightInd w:val="0"/>
        <w:snapToGrid w:val="0"/>
        <w:spacing w:line="560" w:lineRule="exact"/>
        <w:ind w:firstLine="640" w:firstLineChars="200"/>
        <w:rPr>
          <w:rFonts w:eastAsia="黑体"/>
          <w:snapToGrid w:val="0"/>
          <w:color w:val="000000" w:themeColor="text1"/>
          <w:sz w:val="32"/>
          <w:szCs w:val="32"/>
          <w14:textFill>
            <w14:solidFill>
              <w14:schemeClr w14:val="tx1"/>
            </w14:solidFill>
          </w14:textFill>
        </w:rPr>
      </w:pPr>
      <w:r>
        <w:rPr>
          <w:rFonts w:eastAsia="黑体"/>
          <w:snapToGrid w:val="0"/>
          <w:color w:val="000000" w:themeColor="text1"/>
          <w:sz w:val="32"/>
          <w:szCs w:val="32"/>
          <w14:textFill>
            <w14:solidFill>
              <w14:schemeClr w14:val="tx1"/>
            </w14:solidFill>
          </w14:textFill>
        </w:rPr>
        <w:t>一、2022年财政预算执行情况</w:t>
      </w:r>
    </w:p>
    <w:p>
      <w:pPr>
        <w:adjustRightInd w:val="0"/>
        <w:snapToGrid w:val="0"/>
        <w:spacing w:line="560" w:lineRule="exact"/>
        <w:ind w:firstLine="640" w:firstLineChars="200"/>
        <w:rPr>
          <w:rFonts w:eastAsia="楷体_GB2312"/>
          <w:snapToGrid w:val="0"/>
          <w:color w:val="000000" w:themeColor="text1"/>
          <w:sz w:val="32"/>
          <w:szCs w:val="32"/>
          <w14:textFill>
            <w14:solidFill>
              <w14:schemeClr w14:val="tx1"/>
            </w14:solidFill>
          </w14:textFill>
        </w:rPr>
      </w:pPr>
      <w:r>
        <w:rPr>
          <w:rFonts w:eastAsia="楷体_GB2312"/>
          <w:snapToGrid w:val="0"/>
          <w:color w:val="000000" w:themeColor="text1"/>
          <w:sz w:val="32"/>
          <w:szCs w:val="32"/>
          <w14:textFill>
            <w14:solidFill>
              <w14:schemeClr w14:val="tx1"/>
            </w14:solidFill>
          </w14:textFill>
        </w:rPr>
        <w:t>（一）一般公共预算执行情况</w:t>
      </w:r>
    </w:p>
    <w:p>
      <w:pPr>
        <w:adjustRightInd w:val="0"/>
        <w:snapToGrid w:val="0"/>
        <w:spacing w:line="560" w:lineRule="exact"/>
        <w:ind w:firstLine="640" w:firstLineChars="200"/>
        <w:rPr>
          <w:rFonts w:eastAsia="仿宋_GB2312"/>
          <w:snapToGrid w:val="0"/>
          <w:color w:val="000000" w:themeColor="text1"/>
          <w:sz w:val="32"/>
          <w:szCs w:val="32"/>
          <w14:textFill>
            <w14:solidFill>
              <w14:schemeClr w14:val="tx1"/>
            </w14:solidFill>
          </w14:textFill>
        </w:rPr>
      </w:pPr>
      <w:r>
        <w:rPr>
          <w:rFonts w:eastAsia="仿宋_GB2312"/>
          <w:snapToGrid w:val="0"/>
          <w:color w:val="000000" w:themeColor="text1"/>
          <w:sz w:val="32"/>
          <w:szCs w:val="32"/>
          <w14:textFill>
            <w14:solidFill>
              <w14:schemeClr w14:val="tx1"/>
            </w14:solidFill>
          </w14:textFill>
        </w:rPr>
        <w:t>全县完成一般公共预算收入27.28亿元，完成人代会目标的100.5%，较上年增长7.8%，其中：县本级10.28亿元、县经济开发区9亿元、黎城街道3.</w:t>
      </w:r>
      <w:r>
        <w:rPr>
          <w:rFonts w:hint="eastAsia" w:eastAsia="仿宋_GB2312"/>
          <w:snapToGrid w:val="0"/>
          <w:color w:val="000000" w:themeColor="text1"/>
          <w:sz w:val="32"/>
          <w:szCs w:val="32"/>
          <w14:textFill>
            <w14:solidFill>
              <w14:schemeClr w14:val="tx1"/>
            </w14:solidFill>
          </w14:textFill>
        </w:rPr>
        <w:t>18</w:t>
      </w:r>
      <w:r>
        <w:rPr>
          <w:rFonts w:eastAsia="仿宋_GB2312"/>
          <w:snapToGrid w:val="0"/>
          <w:color w:val="000000" w:themeColor="text1"/>
          <w:sz w:val="32"/>
          <w:szCs w:val="32"/>
          <w14:textFill>
            <w14:solidFill>
              <w14:schemeClr w14:val="tx1"/>
            </w14:solidFill>
          </w14:textFill>
        </w:rPr>
        <w:t>亿元、戴楼街道0.79亿元、金北街道0.6亿元。</w:t>
      </w:r>
    </w:p>
    <w:p>
      <w:pPr>
        <w:adjustRightInd w:val="0"/>
        <w:snapToGrid w:val="0"/>
        <w:spacing w:line="560" w:lineRule="exact"/>
        <w:ind w:firstLine="640" w:firstLineChars="200"/>
        <w:rPr>
          <w:rFonts w:eastAsia="仿宋_GB2312"/>
          <w:snapToGrid w:val="0"/>
          <w:color w:val="000000" w:themeColor="text1"/>
          <w:sz w:val="32"/>
          <w:szCs w:val="32"/>
          <w14:textFill>
            <w14:solidFill>
              <w14:schemeClr w14:val="tx1"/>
            </w14:solidFill>
          </w14:textFill>
        </w:rPr>
      </w:pPr>
      <w:r>
        <w:rPr>
          <w:rFonts w:eastAsia="仿宋_GB2312"/>
          <w:snapToGrid w:val="0"/>
          <w:color w:val="000000" w:themeColor="text1"/>
          <w:sz w:val="32"/>
          <w:szCs w:val="32"/>
          <w14:textFill>
            <w14:solidFill>
              <w14:schemeClr w14:val="tx1"/>
            </w14:solidFill>
          </w14:textFill>
        </w:rPr>
        <w:t>全县完成一般公共预算支出60.25亿元，完成人代会目标的100.3%，较上年增长12.3%，其中：县本级42.14亿元、县经济开发区11亿元、</w:t>
      </w:r>
      <w:r>
        <w:rPr>
          <w:rFonts w:eastAsia="仿宋_GB2312"/>
          <w:snapToGrid w:val="0"/>
          <w:color w:val="auto"/>
          <w:sz w:val="32"/>
          <w:szCs w:val="32"/>
        </w:rPr>
        <w:t>黎城街道1.98亿元</w:t>
      </w:r>
      <w:r>
        <w:rPr>
          <w:rFonts w:eastAsia="仿宋_GB2312"/>
          <w:snapToGrid w:val="0"/>
          <w:color w:val="000000" w:themeColor="text1"/>
          <w:sz w:val="32"/>
          <w:szCs w:val="32"/>
          <w14:textFill>
            <w14:solidFill>
              <w14:schemeClr w14:val="tx1"/>
            </w14:solidFill>
          </w14:textFill>
        </w:rPr>
        <w:t>、戴楼街道0.83亿元、金北街道0.82亿元。</w:t>
      </w:r>
    </w:p>
    <w:p>
      <w:pPr>
        <w:numPr>
          <w:ilvl w:val="0"/>
          <w:numId w:val="1"/>
        </w:numPr>
        <w:kinsoku w:val="0"/>
        <w:autoSpaceDE w:val="0"/>
        <w:autoSpaceDN w:val="0"/>
        <w:adjustRightInd w:val="0"/>
        <w:snapToGrid w:val="0"/>
        <w:spacing w:line="560" w:lineRule="exact"/>
        <w:ind w:firstLine="640" w:firstLineChars="200"/>
        <w:rPr>
          <w:rFonts w:eastAsia="楷体_GB2312"/>
          <w:snapToGrid w:val="0"/>
          <w:color w:val="000000" w:themeColor="text1"/>
          <w:sz w:val="32"/>
          <w:szCs w:val="32"/>
          <w14:textFill>
            <w14:solidFill>
              <w14:schemeClr w14:val="tx1"/>
            </w14:solidFill>
          </w14:textFill>
        </w:rPr>
      </w:pPr>
      <w:r>
        <w:rPr>
          <w:rFonts w:eastAsia="楷体_GB2312"/>
          <w:snapToGrid w:val="0"/>
          <w:color w:val="000000" w:themeColor="text1"/>
          <w:sz w:val="32"/>
          <w:szCs w:val="32"/>
          <w14:textFill>
            <w14:solidFill>
              <w14:schemeClr w14:val="tx1"/>
            </w14:solidFill>
          </w14:textFill>
        </w:rPr>
        <w:t>政府性基金预算执行情况</w:t>
      </w:r>
    </w:p>
    <w:p>
      <w:pPr>
        <w:kinsoku w:val="0"/>
        <w:autoSpaceDE w:val="0"/>
        <w:autoSpaceDN w:val="0"/>
        <w:adjustRightInd w:val="0"/>
        <w:snapToGrid w:val="0"/>
        <w:spacing w:line="560" w:lineRule="exact"/>
        <w:ind w:firstLine="640" w:firstLineChars="200"/>
        <w:rPr>
          <w:rFonts w:eastAsia="仿宋_GB2312"/>
          <w:snapToGrid w:val="0"/>
          <w:color w:val="000000" w:themeColor="text1"/>
          <w:sz w:val="32"/>
          <w:szCs w:val="32"/>
          <w14:textFill>
            <w14:solidFill>
              <w14:schemeClr w14:val="tx1"/>
            </w14:solidFill>
          </w14:textFill>
        </w:rPr>
      </w:pPr>
      <w:r>
        <w:rPr>
          <w:rFonts w:eastAsia="仿宋_GB2312"/>
          <w:snapToGrid w:val="0"/>
          <w:color w:val="000000" w:themeColor="text1"/>
          <w:sz w:val="32"/>
          <w:szCs w:val="32"/>
          <w14:textFill>
            <w14:solidFill>
              <w14:schemeClr w14:val="tx1"/>
            </w14:solidFill>
          </w14:textFill>
        </w:rPr>
        <w:t>全年完成政府性基金收入24.</w:t>
      </w:r>
      <w:r>
        <w:rPr>
          <w:rFonts w:hint="eastAsia" w:eastAsia="仿宋_GB2312"/>
          <w:snapToGrid w:val="0"/>
          <w:color w:val="000000" w:themeColor="text1"/>
          <w:sz w:val="32"/>
          <w:szCs w:val="32"/>
          <w14:textFill>
            <w14:solidFill>
              <w14:schemeClr w14:val="tx1"/>
            </w14:solidFill>
          </w14:textFill>
        </w:rPr>
        <w:t>8</w:t>
      </w:r>
      <w:r>
        <w:rPr>
          <w:rFonts w:eastAsia="仿宋_GB2312"/>
          <w:snapToGrid w:val="0"/>
          <w:color w:val="000000" w:themeColor="text1"/>
          <w:sz w:val="32"/>
          <w:szCs w:val="32"/>
          <w14:textFill>
            <w14:solidFill>
              <w14:schemeClr w14:val="tx1"/>
            </w14:solidFill>
          </w14:textFill>
        </w:rPr>
        <w:t>亿元，完成人代会目标的9</w:t>
      </w:r>
      <w:r>
        <w:rPr>
          <w:rFonts w:hint="eastAsia" w:eastAsia="仿宋_GB2312"/>
          <w:snapToGrid w:val="0"/>
          <w:color w:val="000000" w:themeColor="text1"/>
          <w:sz w:val="32"/>
          <w:szCs w:val="32"/>
          <w14:textFill>
            <w14:solidFill>
              <w14:schemeClr w14:val="tx1"/>
            </w14:solidFill>
          </w14:textFill>
        </w:rPr>
        <w:t>4.3</w:t>
      </w:r>
      <w:r>
        <w:rPr>
          <w:rFonts w:eastAsia="仿宋_GB2312"/>
          <w:snapToGrid w:val="0"/>
          <w:color w:val="000000" w:themeColor="text1"/>
          <w:sz w:val="32"/>
          <w:szCs w:val="32"/>
          <w14:textFill>
            <w14:solidFill>
              <w14:schemeClr w14:val="tx1"/>
            </w14:solidFill>
          </w14:textFill>
        </w:rPr>
        <w:t>%，较上年增长</w:t>
      </w:r>
      <w:r>
        <w:rPr>
          <w:rFonts w:hint="eastAsia" w:eastAsia="仿宋_GB2312"/>
          <w:snapToGrid w:val="0"/>
          <w:color w:val="000000" w:themeColor="text1"/>
          <w:sz w:val="32"/>
          <w:szCs w:val="32"/>
          <w14:textFill>
            <w14:solidFill>
              <w14:schemeClr w14:val="tx1"/>
            </w14:solidFill>
          </w14:textFill>
        </w:rPr>
        <w:t>30.2</w:t>
      </w:r>
      <w:r>
        <w:rPr>
          <w:rFonts w:eastAsia="仿宋_GB2312"/>
          <w:snapToGrid w:val="0"/>
          <w:color w:val="000000" w:themeColor="text1"/>
          <w:sz w:val="32"/>
          <w:szCs w:val="32"/>
          <w14:textFill>
            <w14:solidFill>
              <w14:schemeClr w14:val="tx1"/>
            </w14:solidFill>
          </w14:textFill>
        </w:rPr>
        <w:t>%，其中：县本级收入24.</w:t>
      </w:r>
      <w:r>
        <w:rPr>
          <w:rFonts w:hint="eastAsia" w:eastAsia="仿宋_GB2312"/>
          <w:snapToGrid w:val="0"/>
          <w:color w:val="000000" w:themeColor="text1"/>
          <w:sz w:val="32"/>
          <w:szCs w:val="32"/>
          <w14:textFill>
            <w14:solidFill>
              <w14:schemeClr w14:val="tx1"/>
            </w14:solidFill>
          </w14:textFill>
        </w:rPr>
        <w:t>8</w:t>
      </w:r>
      <w:r>
        <w:rPr>
          <w:rFonts w:eastAsia="仿宋_GB2312"/>
          <w:snapToGrid w:val="0"/>
          <w:color w:val="000000" w:themeColor="text1"/>
          <w:sz w:val="32"/>
          <w:szCs w:val="32"/>
          <w14:textFill>
            <w14:solidFill>
              <w14:schemeClr w14:val="tx1"/>
            </w14:solidFill>
          </w14:textFill>
        </w:rPr>
        <w:t>亿元。</w:t>
      </w:r>
    </w:p>
    <w:p>
      <w:pPr>
        <w:spacing w:line="560" w:lineRule="exact"/>
        <w:ind w:firstLine="640" w:firstLineChars="200"/>
        <w:rPr>
          <w:rFonts w:eastAsia="仿宋_GB2312"/>
          <w:snapToGrid w:val="0"/>
          <w:color w:val="000000" w:themeColor="text1"/>
          <w:sz w:val="32"/>
          <w:szCs w:val="32"/>
          <w14:textFill>
            <w14:solidFill>
              <w14:schemeClr w14:val="tx1"/>
            </w14:solidFill>
          </w14:textFill>
        </w:rPr>
      </w:pPr>
      <w:r>
        <w:rPr>
          <w:rFonts w:eastAsia="仿宋_GB2312"/>
          <w:snapToGrid w:val="0"/>
          <w:color w:val="000000" w:themeColor="text1"/>
          <w:sz w:val="32"/>
          <w:szCs w:val="32"/>
          <w14:textFill>
            <w14:solidFill>
              <w14:schemeClr w14:val="tx1"/>
            </w14:solidFill>
          </w14:textFill>
        </w:rPr>
        <w:t>全年完成政府性基金支出19.99亿元，完成人代会目标的99.2%，较上年下降11.2%,其中：县本级支出19.21亿元。</w:t>
      </w:r>
    </w:p>
    <w:p>
      <w:pPr>
        <w:adjustRightInd w:val="0"/>
        <w:snapToGrid w:val="0"/>
        <w:spacing w:line="560" w:lineRule="exact"/>
        <w:ind w:firstLine="640" w:firstLineChars="200"/>
        <w:rPr>
          <w:rFonts w:eastAsia="楷体_GB2312"/>
          <w:snapToGrid w:val="0"/>
          <w:color w:val="000000" w:themeColor="text1"/>
          <w:sz w:val="32"/>
          <w:szCs w:val="32"/>
          <w14:textFill>
            <w14:solidFill>
              <w14:schemeClr w14:val="tx1"/>
            </w14:solidFill>
          </w14:textFill>
        </w:rPr>
      </w:pPr>
      <w:r>
        <w:rPr>
          <w:rFonts w:eastAsia="楷体_GB2312"/>
          <w:snapToGrid w:val="0"/>
          <w:color w:val="000000" w:themeColor="text1"/>
          <w:sz w:val="32"/>
          <w:szCs w:val="32"/>
          <w14:textFill>
            <w14:solidFill>
              <w14:schemeClr w14:val="tx1"/>
            </w14:solidFill>
          </w14:textFill>
        </w:rPr>
        <w:t>（三）国有资本经营预算执行情况</w:t>
      </w:r>
    </w:p>
    <w:p>
      <w:pPr>
        <w:adjustRightInd w:val="0"/>
        <w:snapToGrid w:val="0"/>
        <w:spacing w:line="560" w:lineRule="exact"/>
        <w:ind w:firstLine="640" w:firstLineChars="200"/>
        <w:rPr>
          <w:rFonts w:eastAsia="仿宋_GB2312"/>
          <w:snapToGrid w:val="0"/>
          <w:color w:val="000000" w:themeColor="text1"/>
          <w:sz w:val="32"/>
          <w:szCs w:val="32"/>
          <w14:textFill>
            <w14:solidFill>
              <w14:schemeClr w14:val="tx1"/>
            </w14:solidFill>
          </w14:textFill>
        </w:rPr>
      </w:pPr>
      <w:r>
        <w:rPr>
          <w:rFonts w:eastAsia="仿宋_GB2312"/>
          <w:snapToGrid w:val="0"/>
          <w:color w:val="000000" w:themeColor="text1"/>
          <w:sz w:val="32"/>
          <w:szCs w:val="32"/>
          <w14:textFill>
            <w14:solidFill>
              <w14:schemeClr w14:val="tx1"/>
            </w14:solidFill>
          </w14:textFill>
        </w:rPr>
        <w:t>全年完成国有资本经营预算收入5.08亿元，完成人代会目标的95%，较上年下降8.1%，其中：县本级收入5.08亿元。</w:t>
      </w:r>
    </w:p>
    <w:p>
      <w:pPr>
        <w:adjustRightInd w:val="0"/>
        <w:snapToGrid w:val="0"/>
        <w:spacing w:line="560" w:lineRule="exact"/>
        <w:ind w:firstLine="640" w:firstLineChars="200"/>
        <w:rPr>
          <w:rFonts w:eastAsia="仿宋_GB2312"/>
          <w:snapToGrid w:val="0"/>
          <w:color w:val="000000" w:themeColor="text1"/>
          <w:sz w:val="32"/>
          <w:szCs w:val="32"/>
          <w14:textFill>
            <w14:solidFill>
              <w14:schemeClr w14:val="tx1"/>
            </w14:solidFill>
          </w14:textFill>
        </w:rPr>
      </w:pPr>
      <w:r>
        <w:rPr>
          <w:rFonts w:eastAsia="仿宋_GB2312"/>
          <w:snapToGrid w:val="0"/>
          <w:color w:val="000000" w:themeColor="text1"/>
          <w:sz w:val="32"/>
          <w:szCs w:val="32"/>
          <w14:textFill>
            <w14:solidFill>
              <w14:schemeClr w14:val="tx1"/>
            </w14:solidFill>
          </w14:textFill>
        </w:rPr>
        <w:t>全年完成国有资本经营预算支出3.15亿元，较上年下降39.3%，其中：县本级支出2.65亿元。</w:t>
      </w:r>
    </w:p>
    <w:p>
      <w:pPr>
        <w:adjustRightInd w:val="0"/>
        <w:snapToGrid w:val="0"/>
        <w:spacing w:line="560" w:lineRule="exact"/>
        <w:ind w:firstLine="640" w:firstLineChars="200"/>
        <w:rPr>
          <w:rFonts w:eastAsia="楷体_GB2312"/>
          <w:snapToGrid w:val="0"/>
          <w:color w:val="000000" w:themeColor="text1"/>
          <w:sz w:val="32"/>
          <w:szCs w:val="32"/>
          <w14:textFill>
            <w14:solidFill>
              <w14:schemeClr w14:val="tx1"/>
            </w14:solidFill>
          </w14:textFill>
        </w:rPr>
      </w:pPr>
      <w:r>
        <w:rPr>
          <w:rFonts w:eastAsia="楷体_GB2312"/>
          <w:snapToGrid w:val="0"/>
          <w:color w:val="000000" w:themeColor="text1"/>
          <w:sz w:val="32"/>
          <w:szCs w:val="32"/>
          <w14:textFill>
            <w14:solidFill>
              <w14:schemeClr w14:val="tx1"/>
            </w14:solidFill>
          </w14:textFill>
        </w:rPr>
        <w:t>（四）社会保险基金预算执行情况</w:t>
      </w:r>
    </w:p>
    <w:p>
      <w:pPr>
        <w:adjustRightInd w:val="0"/>
        <w:snapToGrid w:val="0"/>
        <w:spacing w:line="560" w:lineRule="exact"/>
        <w:ind w:firstLine="640" w:firstLineChars="200"/>
        <w:rPr>
          <w:rFonts w:eastAsia="仿宋_GB2312"/>
          <w:snapToGrid w:val="0"/>
          <w:color w:val="000000" w:themeColor="text1"/>
          <w:sz w:val="32"/>
          <w:szCs w:val="32"/>
          <w14:textFill>
            <w14:solidFill>
              <w14:schemeClr w14:val="tx1"/>
            </w14:solidFill>
          </w14:textFill>
        </w:rPr>
      </w:pPr>
      <w:r>
        <w:rPr>
          <w:rFonts w:eastAsia="仿宋_GB2312"/>
          <w:snapToGrid w:val="0"/>
          <w:color w:val="000000" w:themeColor="text1"/>
          <w:sz w:val="32"/>
          <w:szCs w:val="32"/>
          <w14:textFill>
            <w14:solidFill>
              <w14:schemeClr w14:val="tx1"/>
            </w14:solidFill>
          </w14:textFill>
        </w:rPr>
        <w:t>全年完成社会保险基金收入7.28亿元，完成人代会目标的10</w:t>
      </w:r>
      <w:r>
        <w:rPr>
          <w:rFonts w:hint="eastAsia" w:eastAsia="仿宋_GB2312"/>
          <w:snapToGrid w:val="0"/>
          <w:color w:val="000000" w:themeColor="text1"/>
          <w:sz w:val="32"/>
          <w:szCs w:val="32"/>
          <w14:textFill>
            <w14:solidFill>
              <w14:schemeClr w14:val="tx1"/>
            </w14:solidFill>
          </w14:textFill>
        </w:rPr>
        <w:t>2.2</w:t>
      </w:r>
      <w:r>
        <w:rPr>
          <w:rFonts w:eastAsia="仿宋_GB2312"/>
          <w:snapToGrid w:val="0"/>
          <w:color w:val="000000" w:themeColor="text1"/>
          <w:sz w:val="32"/>
          <w:szCs w:val="32"/>
          <w14:textFill>
            <w14:solidFill>
              <w14:schemeClr w14:val="tx1"/>
            </w14:solidFill>
          </w14:textFill>
        </w:rPr>
        <w:t>%，较上年增长12.</w:t>
      </w:r>
      <w:r>
        <w:rPr>
          <w:rFonts w:hint="eastAsia" w:eastAsia="仿宋_GB2312"/>
          <w:snapToGrid w:val="0"/>
          <w:color w:val="000000" w:themeColor="text1"/>
          <w:sz w:val="32"/>
          <w:szCs w:val="32"/>
          <w14:textFill>
            <w14:solidFill>
              <w14:schemeClr w14:val="tx1"/>
            </w14:solidFill>
          </w14:textFill>
        </w:rPr>
        <w:t>5</w:t>
      </w:r>
      <w:r>
        <w:rPr>
          <w:rFonts w:eastAsia="仿宋_GB2312"/>
          <w:snapToGrid w:val="0"/>
          <w:color w:val="000000" w:themeColor="text1"/>
          <w:sz w:val="32"/>
          <w:szCs w:val="32"/>
          <w14:textFill>
            <w14:solidFill>
              <w14:schemeClr w14:val="tx1"/>
            </w14:solidFill>
          </w14:textFill>
        </w:rPr>
        <w:t>%，其中：县本级收入7.28亿元。</w:t>
      </w:r>
    </w:p>
    <w:p>
      <w:pPr>
        <w:adjustRightInd w:val="0"/>
        <w:snapToGrid w:val="0"/>
        <w:spacing w:line="560" w:lineRule="exact"/>
        <w:ind w:firstLine="640" w:firstLineChars="200"/>
        <w:rPr>
          <w:rFonts w:eastAsia="仿宋_GB2312"/>
          <w:snapToGrid w:val="0"/>
          <w:color w:val="000000" w:themeColor="text1"/>
          <w:sz w:val="32"/>
          <w:szCs w:val="32"/>
          <w14:textFill>
            <w14:solidFill>
              <w14:schemeClr w14:val="tx1"/>
            </w14:solidFill>
          </w14:textFill>
        </w:rPr>
      </w:pPr>
      <w:r>
        <w:rPr>
          <w:rFonts w:eastAsia="仿宋_GB2312"/>
          <w:snapToGrid w:val="0"/>
          <w:color w:val="000000" w:themeColor="text1"/>
          <w:sz w:val="32"/>
          <w:szCs w:val="32"/>
          <w14:textFill>
            <w14:solidFill>
              <w14:schemeClr w14:val="tx1"/>
            </w14:solidFill>
          </w14:textFill>
        </w:rPr>
        <w:t>全年完成社会保险基金支出6.43亿元，完成人代会目标的</w:t>
      </w:r>
      <w:r>
        <w:rPr>
          <w:rFonts w:hint="eastAsia" w:eastAsia="仿宋_GB2312"/>
          <w:snapToGrid w:val="0"/>
          <w:color w:val="000000" w:themeColor="text1"/>
          <w:sz w:val="32"/>
          <w:szCs w:val="32"/>
          <w14:textFill>
            <w14:solidFill>
              <w14:schemeClr w14:val="tx1"/>
            </w14:solidFill>
          </w14:textFill>
        </w:rPr>
        <w:t>99.7</w:t>
      </w:r>
      <w:r>
        <w:rPr>
          <w:rFonts w:eastAsia="仿宋_GB2312"/>
          <w:snapToGrid w:val="0"/>
          <w:color w:val="000000" w:themeColor="text1"/>
          <w:sz w:val="32"/>
          <w:szCs w:val="32"/>
          <w14:textFill>
            <w14:solidFill>
              <w14:schemeClr w14:val="tx1"/>
            </w14:solidFill>
          </w14:textFill>
        </w:rPr>
        <w:t>%，较上年增长6.</w:t>
      </w:r>
      <w:r>
        <w:rPr>
          <w:rFonts w:hint="eastAsia" w:eastAsia="仿宋_GB2312"/>
          <w:snapToGrid w:val="0"/>
          <w:color w:val="000000" w:themeColor="text1"/>
          <w:sz w:val="32"/>
          <w:szCs w:val="32"/>
          <w14:textFill>
            <w14:solidFill>
              <w14:schemeClr w14:val="tx1"/>
            </w14:solidFill>
          </w14:textFill>
        </w:rPr>
        <w:t>3</w:t>
      </w:r>
      <w:r>
        <w:rPr>
          <w:rFonts w:eastAsia="仿宋_GB2312"/>
          <w:snapToGrid w:val="0"/>
          <w:color w:val="000000" w:themeColor="text1"/>
          <w:sz w:val="32"/>
          <w:szCs w:val="32"/>
          <w14:textFill>
            <w14:solidFill>
              <w14:schemeClr w14:val="tx1"/>
            </w14:solidFill>
          </w14:textFill>
        </w:rPr>
        <w:t>%，其中：县本级支出6.43亿元。</w:t>
      </w:r>
    </w:p>
    <w:p>
      <w:pPr>
        <w:adjustRightInd w:val="0"/>
        <w:snapToGrid w:val="0"/>
        <w:spacing w:line="560" w:lineRule="exact"/>
        <w:ind w:firstLine="640" w:firstLineChars="200"/>
        <w:rPr>
          <w:rFonts w:eastAsia="黑体"/>
          <w:snapToGrid w:val="0"/>
          <w:color w:val="000000" w:themeColor="text1"/>
          <w:sz w:val="32"/>
          <w:szCs w:val="32"/>
          <w14:textFill>
            <w14:solidFill>
              <w14:schemeClr w14:val="tx1"/>
            </w14:solidFill>
          </w14:textFill>
        </w:rPr>
      </w:pPr>
      <w:r>
        <w:rPr>
          <w:rFonts w:eastAsia="黑体"/>
          <w:snapToGrid w:val="0"/>
          <w:color w:val="000000" w:themeColor="text1"/>
          <w:sz w:val="32"/>
          <w:szCs w:val="32"/>
          <w14:textFill>
            <w14:solidFill>
              <w14:schemeClr w14:val="tx1"/>
            </w14:solidFill>
          </w14:textFill>
        </w:rPr>
        <w:t>二、2022年财政主要工作</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今年以来，金湖财政工作坚持以习近平新时代中国特色社会主义思想为指导，坚决贯彻党中央、国务院关于“积极的财政政策要提升效能，更加注重精准、可持续”的决策部署，认真落实党中央“疫情要防住、经济要稳住、发展要安全”重大要求，坚持稳字当头、稳中求进，在县委县政府的坚强领导下，充分发挥财政职能，积极应对经济下行压力和疫情影响，为我县统筹疫情防控和经济社会发展提供坚强的财政支撑。</w:t>
      </w:r>
    </w:p>
    <w:p>
      <w:pPr>
        <w:spacing w:line="560" w:lineRule="exact"/>
        <w:ind w:firstLine="640" w:firstLineChars="200"/>
        <w:rPr>
          <w:rFonts w:eastAsia="仿宋_GB2312"/>
          <w:color w:val="000000" w:themeColor="text1"/>
          <w:sz w:val="32"/>
          <w:szCs w:val="32"/>
          <w:lang w:bidi="ar"/>
          <w14:textFill>
            <w14:solidFill>
              <w14:schemeClr w14:val="tx1"/>
            </w14:solidFill>
          </w14:textFill>
        </w:rPr>
      </w:pPr>
      <w:r>
        <w:rPr>
          <w:rFonts w:eastAsia="楷体_GB2312"/>
          <w:color w:val="000000" w:themeColor="text1"/>
          <w:sz w:val="32"/>
          <w:szCs w:val="32"/>
          <w14:textFill>
            <w14:solidFill>
              <w14:schemeClr w14:val="tx1"/>
            </w14:solidFill>
          </w14:textFill>
        </w:rPr>
        <w:t>（一）</w:t>
      </w:r>
      <w:r>
        <w:rPr>
          <w:rFonts w:hint="eastAsia" w:eastAsia="楷体_GB2312"/>
          <w:color w:val="000000" w:themeColor="text1"/>
          <w:sz w:val="32"/>
          <w:szCs w:val="32"/>
          <w14:textFill>
            <w14:solidFill>
              <w14:schemeClr w14:val="tx1"/>
            </w14:solidFill>
          </w14:textFill>
        </w:rPr>
        <w:t>落实政策</w:t>
      </w:r>
      <w:r>
        <w:rPr>
          <w:rFonts w:eastAsia="楷体_GB2312"/>
          <w:color w:val="000000" w:themeColor="text1"/>
          <w:sz w:val="32"/>
          <w:szCs w:val="32"/>
          <w14:textFill>
            <w14:solidFill>
              <w14:schemeClr w14:val="tx1"/>
            </w14:solidFill>
          </w14:textFill>
        </w:rPr>
        <w:t>，助力经济高质量发展。</w:t>
      </w:r>
      <w:r>
        <w:rPr>
          <w:rFonts w:eastAsia="仿宋_GB2312"/>
          <w:b/>
          <w:bCs/>
          <w:color w:val="000000" w:themeColor="text1"/>
          <w:sz w:val="32"/>
          <w:szCs w:val="32"/>
          <w14:textFill>
            <w14:solidFill>
              <w14:schemeClr w14:val="tx1"/>
            </w14:solidFill>
          </w14:textFill>
        </w:rPr>
        <w:t>一是落实新的组合式税费政策。</w:t>
      </w:r>
      <w:r>
        <w:rPr>
          <w:rFonts w:eastAsia="仿宋_GB2312"/>
          <w:color w:val="000000" w:themeColor="text1"/>
          <w:sz w:val="32"/>
          <w:szCs w:val="32"/>
          <w14:textFill>
            <w14:solidFill>
              <w14:schemeClr w14:val="tx1"/>
            </w14:solidFill>
          </w14:textFill>
        </w:rPr>
        <w:t>认真落实中央减税降费政策，切实保障增值税留抵退税政策落地达效，尽快让“真金白银”直达企业，提振市场主体信心、激发市场主体活</w:t>
      </w:r>
      <w:r>
        <w:rPr>
          <w:rFonts w:hint="eastAsia" w:eastAsia="仿宋_GB2312"/>
          <w:color w:val="000000" w:themeColor="text1"/>
          <w:sz w:val="32"/>
          <w:szCs w:val="32"/>
          <w14:textFill>
            <w14:solidFill>
              <w14:schemeClr w14:val="tx1"/>
            </w14:solidFill>
          </w14:textFill>
        </w:rPr>
        <w:t>力</w:t>
      </w:r>
      <w:r>
        <w:rPr>
          <w:rFonts w:eastAsia="仿宋_GB2312"/>
          <w:color w:val="000000" w:themeColor="text1"/>
          <w:sz w:val="32"/>
          <w:szCs w:val="32"/>
          <w14:textFill>
            <w14:solidFill>
              <w14:schemeClr w14:val="tx1"/>
            </w14:solidFill>
          </w14:textFill>
        </w:rPr>
        <w:t>。</w:t>
      </w:r>
      <w:r>
        <w:rPr>
          <w:rFonts w:hint="eastAsia" w:eastAsia="仿宋_GB2312"/>
          <w:color w:val="auto"/>
          <w:sz w:val="32"/>
          <w:szCs w:val="32"/>
        </w:rPr>
        <w:t>全年</w:t>
      </w:r>
      <w:r>
        <w:rPr>
          <w:rFonts w:eastAsia="仿宋_GB2312"/>
          <w:color w:val="auto"/>
          <w:sz w:val="32"/>
          <w:szCs w:val="32"/>
        </w:rPr>
        <w:t>累计减税降费</w:t>
      </w:r>
      <w:r>
        <w:rPr>
          <w:rFonts w:hint="eastAsia" w:eastAsia="仿宋_GB2312"/>
          <w:color w:val="auto"/>
          <w:sz w:val="32"/>
          <w:szCs w:val="32"/>
        </w:rPr>
        <w:t>9.84</w:t>
      </w:r>
      <w:r>
        <w:rPr>
          <w:rFonts w:eastAsia="仿宋_GB2312"/>
          <w:color w:val="auto"/>
          <w:sz w:val="32"/>
          <w:szCs w:val="32"/>
        </w:rPr>
        <w:t>亿元，其中留抵退税4.28亿元。</w:t>
      </w:r>
      <w:r>
        <w:rPr>
          <w:rFonts w:eastAsia="仿宋_GB2312"/>
          <w:b/>
          <w:bCs/>
          <w:color w:val="000000" w:themeColor="text1"/>
          <w:sz w:val="32"/>
          <w:szCs w:val="32"/>
          <w14:textFill>
            <w14:solidFill>
              <w14:schemeClr w14:val="tx1"/>
            </w14:solidFill>
          </w14:textFill>
        </w:rPr>
        <w:t>二是加大金融政策支持力度。</w:t>
      </w:r>
      <w:r>
        <w:rPr>
          <w:rFonts w:eastAsia="仿宋_GB2312"/>
          <w:color w:val="000000" w:themeColor="text1"/>
          <w:sz w:val="32"/>
          <w:szCs w:val="32"/>
          <w14:textFill>
            <w14:solidFill>
              <w14:schemeClr w14:val="tx1"/>
            </w14:solidFill>
          </w14:textFill>
        </w:rPr>
        <w:t>强化信用担保体系建设，金信融资担保被列为江苏省首批政府性融资担保机构，</w:t>
      </w:r>
      <w:r>
        <w:rPr>
          <w:rFonts w:hint="eastAsia" w:eastAsia="仿宋_GB2312"/>
          <w:color w:val="000000" w:themeColor="text1"/>
          <w:sz w:val="32"/>
          <w:szCs w:val="32"/>
          <w14:textFill>
            <w14:solidFill>
              <w14:schemeClr w14:val="tx1"/>
            </w14:solidFill>
          </w14:textFill>
        </w:rPr>
        <w:t>全年</w:t>
      </w:r>
      <w:r>
        <w:rPr>
          <w:rFonts w:eastAsia="仿宋_GB2312"/>
          <w:color w:val="000000" w:themeColor="text1"/>
          <w:sz w:val="32"/>
          <w:szCs w:val="32"/>
          <w14:textFill>
            <w14:solidFill>
              <w14:schemeClr w14:val="tx1"/>
            </w14:solidFill>
          </w14:textFill>
        </w:rPr>
        <w:t>为中小微企业</w:t>
      </w:r>
      <w:r>
        <w:rPr>
          <w:rFonts w:hint="eastAsia" w:eastAsia="仿宋_GB2312"/>
          <w:color w:val="000000" w:themeColor="text1"/>
          <w:sz w:val="32"/>
          <w:szCs w:val="32"/>
          <w14:textFill>
            <w14:solidFill>
              <w14:schemeClr w14:val="tx1"/>
            </w14:solidFill>
          </w14:textFill>
        </w:rPr>
        <w:t>提供</w:t>
      </w:r>
      <w:r>
        <w:rPr>
          <w:rFonts w:eastAsia="仿宋_GB2312"/>
          <w:color w:val="000000" w:themeColor="text1"/>
          <w:sz w:val="32"/>
          <w:szCs w:val="32"/>
          <w14:textFill>
            <w14:solidFill>
              <w14:schemeClr w14:val="tx1"/>
            </w14:solidFill>
          </w14:textFill>
        </w:rPr>
        <w:t>担保贷款163单6.02亿元</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且担保业务费率低于1%</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经信金融为903户次企业办理应急转贷资金18.09亿元。淮安金晟科技小额贷款发放贷款16笔4393.8万元；整合设立县普惠金融发展风险补偿基金，初始规模达1368.98万元。开展“苏科贷”政银合作，引导银行投放贷款4000万元。</w:t>
      </w:r>
      <w:r>
        <w:rPr>
          <w:rFonts w:eastAsia="仿宋_GB2312"/>
          <w:b/>
          <w:bCs/>
          <w:color w:val="000000" w:themeColor="text1"/>
          <w:sz w:val="32"/>
          <w:szCs w:val="32"/>
          <w14:textFill>
            <w14:solidFill>
              <w14:schemeClr w14:val="tx1"/>
            </w14:solidFill>
          </w14:textFill>
        </w:rPr>
        <w:t>三是减免国有房屋租金。</w:t>
      </w:r>
      <w:r>
        <w:rPr>
          <w:rFonts w:eastAsia="仿宋_GB2312"/>
          <w:color w:val="000000" w:themeColor="text1"/>
          <w:sz w:val="32"/>
          <w:szCs w:val="32"/>
          <w:lang w:bidi="ar"/>
          <w14:textFill>
            <w14:solidFill>
              <w14:schemeClr w14:val="tx1"/>
            </w14:solidFill>
          </w14:textFill>
        </w:rPr>
        <w:t>对全县范围内承租国有企业(包括全资、控股和实际控制企业)、行政事业单位国有房屋及供销社、工会、人防等部门对外出租房屋的服务业小微企业和个体工商户，免收2022年3—5月份的租金，共减免国有房屋租金367.26万元，惠及88家中小微企业和293家个体工商户。</w:t>
      </w:r>
      <w:r>
        <w:rPr>
          <w:rFonts w:eastAsia="仿宋_GB2312"/>
          <w:b/>
          <w:bCs/>
          <w:color w:val="000000" w:themeColor="text1"/>
          <w:sz w:val="32"/>
          <w:szCs w:val="32"/>
          <w14:textFill>
            <w14:solidFill>
              <w14:schemeClr w14:val="tx1"/>
            </w14:solidFill>
          </w14:textFill>
        </w:rPr>
        <w:t>四是管好用好政府专项债券。</w:t>
      </w:r>
      <w:r>
        <w:rPr>
          <w:rFonts w:eastAsia="仿宋_GB2312"/>
          <w:color w:val="000000" w:themeColor="text1"/>
          <w:sz w:val="32"/>
          <w:szCs w:val="32"/>
          <w:lang w:bidi="ar"/>
          <w14:textFill>
            <w14:solidFill>
              <w14:schemeClr w14:val="tx1"/>
            </w14:solidFill>
          </w14:textFill>
        </w:rPr>
        <w:t>紧紧围绕交通、水利、教育等县委县政府确定的重点领域，加强专项债券项目的审核把关，积极申请专项债券用作符合条件的重大项目资本金，充分发挥基建投资的乘数效应，带动扩大有效投资，2022年我县共申请发行政府债券12个项目10.75亿元（其中一般债券0.75亿元，专项债券10亿元）。</w:t>
      </w:r>
      <w:r>
        <w:rPr>
          <w:rFonts w:eastAsia="仿宋_GB2312"/>
          <w:b/>
          <w:color w:val="000000" w:themeColor="text1"/>
          <w:sz w:val="32"/>
          <w:szCs w:val="32"/>
          <w14:textFill>
            <w14:solidFill>
              <w14:schemeClr w14:val="tx1"/>
            </w14:solidFill>
          </w14:textFill>
        </w:rPr>
        <w:t>五是常态化落实财政资金直达机制。</w:t>
      </w:r>
      <w:r>
        <w:rPr>
          <w:rFonts w:eastAsia="仿宋_GB2312"/>
          <w:color w:val="000000" w:themeColor="text1"/>
          <w:sz w:val="32"/>
          <w:szCs w:val="32"/>
          <w14:textFill>
            <w14:solidFill>
              <w14:schemeClr w14:val="tx1"/>
            </w14:solidFill>
          </w14:textFill>
        </w:rPr>
        <w:t>严格落实直达资金管理机制，按照“快速直达”的原则，加快资金分配、拨付和使用，确保资金精准惠企利民，落地生效。2022年度我县共收到中央财政直达资金5.86亿元，形成实际支出5.68亿元，支出进度达97%。</w:t>
      </w:r>
      <w:r>
        <w:rPr>
          <w:rFonts w:eastAsia="仿宋_GB2312"/>
          <w:b/>
          <w:bCs/>
          <w:color w:val="000000" w:themeColor="text1"/>
          <w:sz w:val="32"/>
          <w:szCs w:val="32"/>
          <w14:textFill>
            <w14:solidFill>
              <w14:schemeClr w14:val="tx1"/>
            </w14:solidFill>
          </w14:textFill>
        </w:rPr>
        <w:t>六是坚持过“紧日子”要求。</w:t>
      </w:r>
      <w:r>
        <w:rPr>
          <w:rFonts w:eastAsia="仿宋_GB2312"/>
          <w:color w:val="000000" w:themeColor="text1"/>
          <w:sz w:val="32"/>
          <w:szCs w:val="32"/>
          <w14:textFill>
            <w14:solidFill>
              <w14:schemeClr w14:val="tx1"/>
            </w14:solidFill>
          </w14:textFill>
        </w:rPr>
        <w:t>认真落实省市文件精神，对全县各单位落实政府过“紧日子”进行督查，出台政府“过紧日子”十条措施，</w:t>
      </w:r>
      <w:r>
        <w:rPr>
          <w:rFonts w:eastAsia="仿宋_GB2312"/>
          <w:bCs/>
          <w:color w:val="000000" w:themeColor="text1"/>
          <w:kern w:val="0"/>
          <w:sz w:val="32"/>
          <w:szCs w:val="32"/>
          <w14:textFill>
            <w14:solidFill>
              <w14:schemeClr w14:val="tx1"/>
            </w14:solidFill>
          </w14:textFill>
        </w:rPr>
        <w:t>用政府的“紧日子”换取人民的“好日子”，全年压减支出4.5亿元。</w:t>
      </w:r>
    </w:p>
    <w:p>
      <w:pPr>
        <w:pStyle w:val="9"/>
        <w:spacing w:before="0" w:beforeAutospacing="0" w:after="0" w:afterAutospacing="0" w:line="56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kern w:val="2"/>
          <w:sz w:val="32"/>
          <w:szCs w:val="32"/>
          <w14:textFill>
            <w14:solidFill>
              <w14:schemeClr w14:val="tx1"/>
            </w14:solidFill>
          </w14:textFill>
        </w:rPr>
        <w:t>（二）保障重点，持续</w:t>
      </w:r>
      <w:r>
        <w:rPr>
          <w:rFonts w:hint="eastAsia" w:ascii="Times New Roman" w:hAnsi="Times New Roman" w:eastAsia="楷体_GB2312" w:cs="Times New Roman"/>
          <w:color w:val="000000" w:themeColor="text1"/>
          <w:kern w:val="2"/>
          <w:sz w:val="32"/>
          <w:szCs w:val="32"/>
          <w14:textFill>
            <w14:solidFill>
              <w14:schemeClr w14:val="tx1"/>
            </w14:solidFill>
          </w14:textFill>
        </w:rPr>
        <w:t>提高民生保障水平</w:t>
      </w:r>
      <w:r>
        <w:rPr>
          <w:rFonts w:ascii="Times New Roman" w:hAnsi="Times New Roman" w:eastAsia="楷体_GB2312" w:cs="Times New Roman"/>
          <w:color w:val="000000" w:themeColor="text1"/>
          <w:kern w:val="2"/>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全县财政民生支出37.61亿元，占一般公共预算支出62.4%，积极保障县政府民生实事开展。</w:t>
      </w:r>
      <w:r>
        <w:rPr>
          <w:rFonts w:ascii="Times New Roman" w:hAnsi="Times New Roman" w:eastAsia="仿宋_GB2312" w:cs="Times New Roman"/>
          <w:b/>
          <w:bCs/>
          <w:color w:val="000000" w:themeColor="text1"/>
          <w:sz w:val="32"/>
          <w:szCs w:val="32"/>
          <w14:textFill>
            <w14:solidFill>
              <w14:schemeClr w14:val="tx1"/>
            </w14:solidFill>
          </w14:textFill>
        </w:rPr>
        <w:t>一是兜牢“三保”底线。</w:t>
      </w:r>
      <w:r>
        <w:rPr>
          <w:rFonts w:ascii="Times New Roman" w:hAnsi="Times New Roman" w:eastAsia="仿宋_GB2312" w:cs="Times New Roman"/>
          <w:bCs/>
          <w:color w:val="000000" w:themeColor="text1"/>
          <w:sz w:val="32"/>
          <w:szCs w:val="32"/>
          <w14:textFill>
            <w14:solidFill>
              <w14:schemeClr w14:val="tx1"/>
            </w14:solidFill>
          </w14:textFill>
        </w:rPr>
        <w:t>不断调整优化支出结构，把稳“三保”放在头等重要的位置，始终坚持“三保”支出的优先顺序，兜牢“三保”底线，确保全县机关事业单位工资按时发放、机构正常运转、基本民生支出</w:t>
      </w:r>
      <w:r>
        <w:rPr>
          <w:rFonts w:hint="eastAsia" w:ascii="Times New Roman" w:hAnsi="Times New Roman" w:eastAsia="仿宋_GB2312" w:cs="Times New Roman"/>
          <w:bCs/>
          <w:color w:val="000000" w:themeColor="text1"/>
          <w:sz w:val="32"/>
          <w:szCs w:val="32"/>
          <w14:textFill>
            <w14:solidFill>
              <w14:schemeClr w14:val="tx1"/>
            </w14:solidFill>
          </w14:textFill>
        </w:rPr>
        <w:t>保障</w:t>
      </w:r>
      <w:r>
        <w:rPr>
          <w:rFonts w:ascii="Times New Roman" w:hAnsi="Times New Roman" w:eastAsia="仿宋_GB2312" w:cs="Times New Roman"/>
          <w:bCs/>
          <w:color w:val="000000" w:themeColor="text1"/>
          <w:sz w:val="32"/>
          <w:szCs w:val="32"/>
          <w14:textFill>
            <w14:solidFill>
              <w14:schemeClr w14:val="tx1"/>
            </w14:solidFill>
          </w14:textFill>
        </w:rPr>
        <w:t>到位，全年“三保”支出21.41亿元，占一般公共预算支出的35.5%。</w:t>
      </w:r>
      <w:r>
        <w:rPr>
          <w:rFonts w:ascii="Times New Roman" w:hAnsi="Times New Roman" w:eastAsia="仿宋_GB2312" w:cs="Times New Roman"/>
          <w:b/>
          <w:bCs/>
          <w:color w:val="000000" w:themeColor="text1"/>
          <w:kern w:val="2"/>
          <w:sz w:val="32"/>
          <w:szCs w:val="32"/>
          <w14:textFill>
            <w14:solidFill>
              <w14:schemeClr w14:val="tx1"/>
            </w14:solidFill>
          </w14:textFill>
        </w:rPr>
        <w:t>二是稳步提高社会保障水平。</w:t>
      </w:r>
      <w:r>
        <w:rPr>
          <w:rFonts w:ascii="Times New Roman" w:hAnsi="Times New Roman" w:eastAsia="仿宋_GB2312" w:cs="Times New Roman"/>
          <w:color w:val="000000" w:themeColor="text1"/>
          <w:sz w:val="32"/>
          <w:szCs w:val="32"/>
          <w14:textFill>
            <w14:solidFill>
              <w14:schemeClr w14:val="tx1"/>
            </w14:solidFill>
          </w14:textFill>
        </w:rPr>
        <w:t>基础养老金发放标准从193元/月提高到212元/月，城乡居民基本医疗筹资水平由人均920元提高到980元，城乡低保最低标准统一提高到655元/人.月。落实托底救助政策，对全县上报的226户特困救助对象家庭真实性进行入户核查；促进基本公共卫生服务均等化，提高服务经费标准，按每人每年93元的标准安排基本公共卫生服务资金2683.98万元。强化疫情防控资金保障，及时拨付重大公共卫生应急专项资金，安排医疗设备、集中隔离点、核酸检测、储备物资等疫情防控资金6520万元。</w:t>
      </w:r>
      <w:r>
        <w:rPr>
          <w:rFonts w:ascii="Times New Roman" w:hAnsi="Times New Roman" w:eastAsia="仿宋_GB2312" w:cs="Times New Roman"/>
          <w:b/>
          <w:bCs/>
          <w:color w:val="000000" w:themeColor="text1"/>
          <w:kern w:val="2"/>
          <w:sz w:val="32"/>
          <w:szCs w:val="32"/>
          <w14:textFill>
            <w14:solidFill>
              <w14:schemeClr w14:val="tx1"/>
            </w14:solidFill>
          </w14:textFill>
        </w:rPr>
        <w:t>三是稳步推进教育优质均衡发展。</w:t>
      </w:r>
      <w:r>
        <w:rPr>
          <w:rFonts w:ascii="Times New Roman" w:hAnsi="Times New Roman" w:eastAsia="仿宋_GB2312" w:cs="Times New Roman"/>
          <w:color w:val="000000" w:themeColor="text1"/>
          <w:sz w:val="32"/>
          <w:szCs w:val="32"/>
          <w14:textFill>
            <w14:solidFill>
              <w14:schemeClr w14:val="tx1"/>
            </w14:solidFill>
          </w14:textFill>
        </w:rPr>
        <w:t>足额安排教育生均公用经费，安排生均公用经费2841.8万元。大力扶持教育困难群体，安排各类补助、助学金512.43万元。安排校安工程项目专项经费1950万元，提升校舍安全保障水平。安排教学质量提升工程项目经费3840.5万元，全面提升教育教学质量。</w:t>
      </w:r>
      <w:r>
        <w:rPr>
          <w:rFonts w:ascii="Times New Roman" w:hAnsi="Times New Roman" w:eastAsia="仿宋_GB2312" w:cs="Times New Roman"/>
          <w:b/>
          <w:bCs/>
          <w:color w:val="000000" w:themeColor="text1"/>
          <w:kern w:val="2"/>
          <w:sz w:val="32"/>
          <w:szCs w:val="32"/>
          <w14:textFill>
            <w14:solidFill>
              <w14:schemeClr w14:val="tx1"/>
            </w14:solidFill>
          </w14:textFill>
        </w:rPr>
        <w:t>四是积极支持乡村振兴建设。</w:t>
      </w:r>
      <w:r>
        <w:rPr>
          <w:rFonts w:ascii="Times New Roman" w:hAnsi="Times New Roman" w:eastAsia="仿宋_GB2312" w:cs="Times New Roman"/>
          <w:color w:val="000000" w:themeColor="text1"/>
          <w:sz w:val="32"/>
          <w:szCs w:val="32"/>
          <w14:textFill>
            <w14:solidFill>
              <w14:schemeClr w14:val="tx1"/>
            </w14:solidFill>
          </w14:textFill>
        </w:rPr>
        <w:t>完成涉农资金整合实施方案、先导镇项目库建设，计划总投资22.79亿元安排吕良镇42个项目计划。支持高标准农田建设，总投资1.9</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ascii="Times New Roman" w:hAnsi="Times New Roman" w:eastAsia="仿宋_GB2312" w:cs="Times New Roman"/>
          <w:color w:val="000000" w:themeColor="text1"/>
          <w:sz w:val="32"/>
          <w:szCs w:val="32"/>
          <w14:textFill>
            <w14:solidFill>
              <w14:schemeClr w14:val="tx1"/>
            </w14:solidFill>
          </w14:textFill>
        </w:rPr>
        <w:t>亿元新建高标准农田6</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.52</w:t>
      </w:r>
      <w:r>
        <w:rPr>
          <w:rFonts w:ascii="Times New Roman" w:hAnsi="Times New Roman" w:eastAsia="仿宋_GB2312" w:cs="Times New Roman"/>
          <w:color w:val="000000" w:themeColor="text1"/>
          <w:sz w:val="32"/>
          <w:szCs w:val="32"/>
          <w14:textFill>
            <w14:solidFill>
              <w14:schemeClr w14:val="tx1"/>
            </w14:solidFill>
          </w14:textFill>
        </w:rPr>
        <w:t>万亩、发展高效节水灌溉0.21万亩。投入8000万元支持农业生产发展，投入960万元扶持渔业发展改善生态环境，安排1200万元扶贫专项资金。精准发放农业支持保护补贴（耕地地力保护）5.87万户4871.29万元，在全市三次率先完成实际种粮农民一次性补贴发放2849.47万元。加强农业保险管理，开展“农业保险政策调查年”活动，拨付各类农业保险财政补贴保费4244万元。</w:t>
      </w:r>
      <w:r>
        <w:rPr>
          <w:rFonts w:ascii="Times New Roman" w:hAnsi="Times New Roman" w:eastAsia="仿宋_GB2312" w:cs="Times New Roman"/>
          <w:b/>
          <w:bCs/>
          <w:color w:val="000000" w:themeColor="text1"/>
          <w:sz w:val="32"/>
          <w:szCs w:val="32"/>
          <w14:textFill>
            <w14:solidFill>
              <w14:schemeClr w14:val="tx1"/>
            </w14:solidFill>
          </w14:textFill>
        </w:rPr>
        <w:t>五是积极支持稳岗就业。</w:t>
      </w:r>
      <w:r>
        <w:rPr>
          <w:rFonts w:ascii="Times New Roman" w:hAnsi="Times New Roman" w:eastAsia="仿宋_GB2312" w:cs="Times New Roman"/>
          <w:color w:val="000000" w:themeColor="text1"/>
          <w:sz w:val="32"/>
          <w:szCs w:val="32"/>
          <w14:textFill>
            <w14:solidFill>
              <w14:schemeClr w14:val="tx1"/>
            </w14:solidFill>
          </w14:textFill>
        </w:rPr>
        <w:t>统筹安排就业专项资金712.56万元，支持企业开展技能培训、发放社保补贴等，减轻企业用工负担。实施失业保险援企稳岗“护航行动”，对符合条件的1251户企业稳岗返还失业保险513.06万元。对符合条件的申请缓缴三项社会保险费的3户困难企业和10户特殊行业单位，认证审批缓缴养老、失业和工伤三项社会保险费，缓缴期最长6个月。</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（三）深化改革，提升财政治理效能。</w:t>
      </w:r>
      <w:r>
        <w:rPr>
          <w:rFonts w:eastAsia="仿宋_GB2312"/>
          <w:b/>
          <w:bCs/>
          <w:color w:val="000000" w:themeColor="text1"/>
          <w:sz w:val="32"/>
          <w:szCs w:val="32"/>
          <w14:textFill>
            <w14:solidFill>
              <w14:schemeClr w14:val="tx1"/>
            </w14:solidFill>
          </w14:textFill>
        </w:rPr>
        <w:t>一是</w:t>
      </w:r>
      <w:r>
        <w:rPr>
          <w:rFonts w:eastAsia="仿宋_GB2312"/>
          <w:b/>
          <w:color w:val="000000" w:themeColor="text1"/>
          <w:sz w:val="32"/>
          <w:szCs w:val="32"/>
          <w14:textFill>
            <w14:solidFill>
              <w14:schemeClr w14:val="tx1"/>
            </w14:solidFill>
          </w14:textFill>
        </w:rPr>
        <w:t>推进预算管理一体化建设。</w:t>
      </w:r>
      <w:r>
        <w:rPr>
          <w:rFonts w:eastAsia="仿宋_GB2312"/>
          <w:bCs/>
          <w:color w:val="000000" w:themeColor="text1"/>
          <w:kern w:val="0"/>
          <w:sz w:val="32"/>
          <w:szCs w:val="32"/>
          <w14:textFill>
            <w14:solidFill>
              <w14:schemeClr w14:val="tx1"/>
            </w14:solidFill>
          </w14:textFill>
        </w:rPr>
        <w:t>按照省厅预算管理一体化系统推广布置要求，扎实推进预算管理一体化建设。依托全省预算管理一体化系统，实现预算编制、预算执行、政府采购、预算绩效、财政供养人口、预决算公开、会计核算等各模块业务全流程监管，</w:t>
      </w:r>
      <w:r>
        <w:rPr>
          <w:rFonts w:hint="eastAsia" w:ascii="仿宋_GB2312" w:hAnsi="等线" w:eastAsia="仿宋_GB2312"/>
          <w:sz w:val="32"/>
          <w:szCs w:val="32"/>
        </w:rPr>
        <w:t>县本级148家预算单位基本业务在一体化系统上运转正常，</w:t>
      </w:r>
      <w:r>
        <w:rPr>
          <w:rFonts w:hint="eastAsia" w:ascii="仿宋_GB2312" w:eastAsia="仿宋_GB2312"/>
          <w:kern w:val="0"/>
          <w:sz w:val="32"/>
          <w:szCs w:val="32"/>
        </w:rPr>
        <w:t>确保财政资金安全。</w:t>
      </w:r>
      <w:r>
        <w:rPr>
          <w:rFonts w:eastAsia="仿宋_GB2312"/>
          <w:b/>
          <w:bCs/>
          <w:color w:val="000000" w:themeColor="text1"/>
          <w:sz w:val="32"/>
          <w:szCs w:val="32"/>
          <w14:textFill>
            <w14:solidFill>
              <w14:schemeClr w14:val="tx1"/>
            </w14:solidFill>
          </w14:textFill>
        </w:rPr>
        <w:t>二是构建全方位预算绩效管理格局。</w:t>
      </w:r>
      <w:r>
        <w:rPr>
          <w:rFonts w:eastAsia="仿宋_GB2312"/>
          <w:color w:val="000000" w:themeColor="text1"/>
          <w:sz w:val="32"/>
          <w:szCs w:val="32"/>
          <w14:textFill>
            <w14:solidFill>
              <w14:schemeClr w14:val="tx1"/>
            </w14:solidFill>
          </w14:textFill>
        </w:rPr>
        <w:t>进一步落实《江苏省全面实施预算绩效管理四年行动计划（2019-2022 年）》，全面推进预算绩效管理。加强部门整体预算绩效管理，聘请第三方对水务局和自然资源局开展整体预算绩效评价；加强绩效评价结果推广应用，出台《金湖县县级预算绩效管理成果应用办法》；出台《金湖县2022年度高质量跨越发展预算绩效管理考核计分细则》，将“绩效管理工作”纳入今年县政府对各部门的综合考核。</w:t>
      </w:r>
      <w:r>
        <w:rPr>
          <w:rFonts w:eastAsia="仿宋_GB2312"/>
          <w:b/>
          <w:bCs/>
          <w:color w:val="000000" w:themeColor="text1"/>
          <w:sz w:val="32"/>
          <w:szCs w:val="32"/>
          <w14:textFill>
            <w14:solidFill>
              <w14:schemeClr w14:val="tx1"/>
            </w14:solidFill>
          </w14:textFill>
        </w:rPr>
        <w:t>三是加强资金监管。</w:t>
      </w:r>
      <w:r>
        <w:rPr>
          <w:rFonts w:eastAsia="仿宋_GB2312"/>
          <w:color w:val="000000" w:themeColor="text1"/>
          <w:kern w:val="0"/>
          <w:sz w:val="32"/>
          <w:szCs w:val="32"/>
          <w14:textFill>
            <w14:solidFill>
              <w14:schemeClr w14:val="tx1"/>
            </w14:solidFill>
          </w14:textFill>
        </w:rPr>
        <w:t>强化财政资金监管，防范资金存放安全风险和廉政风险，将社会保险基金</w:t>
      </w:r>
      <w:r>
        <w:rPr>
          <w:rFonts w:hint="eastAsia" w:eastAsia="仿宋_GB2312"/>
          <w:color w:val="000000" w:themeColor="text1"/>
          <w:kern w:val="0"/>
          <w:sz w:val="32"/>
          <w:szCs w:val="32"/>
          <w14:textFill>
            <w14:solidFill>
              <w14:schemeClr w14:val="tx1"/>
            </w14:solidFill>
          </w14:textFill>
        </w:rPr>
        <w:t>间隙</w:t>
      </w:r>
      <w:r>
        <w:rPr>
          <w:rFonts w:eastAsia="仿宋_GB2312"/>
          <w:color w:val="000000" w:themeColor="text1"/>
          <w:kern w:val="0"/>
          <w:sz w:val="32"/>
          <w:szCs w:val="32"/>
          <w14:textFill>
            <w14:solidFill>
              <w14:schemeClr w14:val="tx1"/>
            </w14:solidFill>
          </w14:textFill>
        </w:rPr>
        <w:t>资金采取竞争性存放方式，选择定期存放银行，确保社会保险基金的保值增值;加强涉农资金统筹整合，精准确定统筹整合涉农资金范围、分类归集不同类别涉农资金、严格规范涉农资金统筹整合流程、压紧压实涉农资金统筹整合工作责任，积极引导涉农资金向乡村振兴重点区域、重大项目、重要节点集中投入，提升涉农资金使用效益。</w:t>
      </w:r>
      <w:r>
        <w:rPr>
          <w:rFonts w:eastAsia="仿宋_GB2312"/>
          <w:b/>
          <w:bCs/>
          <w:color w:val="000000" w:themeColor="text1"/>
          <w:sz w:val="32"/>
          <w:szCs w:val="32"/>
          <w14:textFill>
            <w14:solidFill>
              <w14:schemeClr w14:val="tx1"/>
            </w14:solidFill>
          </w14:textFill>
        </w:rPr>
        <w:t>四是推进财政票据电子化改革。</w:t>
      </w:r>
      <w:r>
        <w:rPr>
          <w:rFonts w:eastAsia="仿宋_GB2312"/>
          <w:color w:val="000000" w:themeColor="text1"/>
          <w:sz w:val="32"/>
          <w:szCs w:val="32"/>
          <w:lang w:val="zh-CN"/>
          <w14:textFill>
            <w14:solidFill>
              <w14:schemeClr w14:val="tx1"/>
            </w14:solidFill>
          </w14:textFill>
        </w:rPr>
        <w:t>积极贯彻落实财政部《财政票据管理办法》，</w:t>
      </w:r>
      <w:r>
        <w:rPr>
          <w:rFonts w:eastAsia="仿宋_GB2312"/>
          <w:color w:val="000000" w:themeColor="text1"/>
          <w:sz w:val="32"/>
          <w:szCs w:val="32"/>
          <w14:textFill>
            <w14:solidFill>
              <w14:schemeClr w14:val="tx1"/>
            </w14:solidFill>
          </w14:textFill>
        </w:rPr>
        <w:t>扎实推进财政票据电子化改革，建立以非税收入缴款书为核心涵盖各类财政票据的管理体系。选择部分试点单位使用电子票据，借鉴学习先进县区工作经验，举办三期电子票据操作培训，加强调研分析，逐步实现电子票据使用单位全覆盖。</w:t>
      </w:r>
      <w:r>
        <w:rPr>
          <w:rFonts w:eastAsia="仿宋_GB2312"/>
          <w:b/>
          <w:bCs/>
          <w:color w:val="000000" w:themeColor="text1"/>
          <w:sz w:val="32"/>
          <w:szCs w:val="32"/>
          <w14:textFill>
            <w14:solidFill>
              <w14:schemeClr w14:val="tx1"/>
            </w14:solidFill>
          </w14:textFill>
        </w:rPr>
        <w:t>五是深入推进国企改革。</w:t>
      </w:r>
      <w:r>
        <w:rPr>
          <w:rFonts w:eastAsia="仿宋_GB2312"/>
          <w:color w:val="000000" w:themeColor="text1"/>
          <w:kern w:val="0"/>
          <w:sz w:val="32"/>
          <w:szCs w:val="32"/>
          <w14:textFill>
            <w14:solidFill>
              <w14:schemeClr w14:val="tx1"/>
            </w14:solidFill>
          </w14:textFill>
        </w:rPr>
        <w:t>开展闲置低效存量资产摸排清理盘活工作，共摸排出各类低效土地1791亩，闲置低效厂房42892.14平方米、闲置低效商业用房15806.1平方米、闲置低效办公用房33360.43平方米、闲置宅基地379050.6平方米和闲置住宅49445.87平方米；推动国企改革三年行动，圆满完成125项改革任务；认真落实国资监管十项重点工作，出台《金湖县国资办贯彻落实国资管理十项重点工作方案》，顺利完成十项重点工作。</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（四）严格防范债务风险，筑牢安全底线。</w:t>
      </w:r>
      <w:r>
        <w:rPr>
          <w:rFonts w:eastAsia="仿宋_GB2312"/>
          <w:b/>
          <w:bCs/>
          <w:color w:val="000000" w:themeColor="text1"/>
          <w:sz w:val="32"/>
          <w:szCs w:val="32"/>
          <w14:textFill>
            <w14:solidFill>
              <w14:schemeClr w14:val="tx1"/>
            </w14:solidFill>
          </w14:textFill>
        </w:rPr>
        <w:t>一是落实债务化解任务。</w:t>
      </w:r>
      <w:r>
        <w:rPr>
          <w:rFonts w:eastAsia="仿宋_GB2312"/>
          <w:color w:val="000000" w:themeColor="text1"/>
          <w:sz w:val="32"/>
          <w:szCs w:val="32"/>
          <w14:textFill>
            <w14:solidFill>
              <w14:schemeClr w14:val="tx1"/>
            </w14:solidFill>
          </w14:textFill>
        </w:rPr>
        <w:t>围绕年初批复的化解任务，逐笔分解落实到每个债务单位，再细化到每个月、每个季度，做到以月保季、以季保年，确保完成年度化解目标任务。</w:t>
      </w:r>
      <w:r>
        <w:rPr>
          <w:rFonts w:eastAsia="仿宋_GB2312"/>
          <w:b/>
          <w:bCs/>
          <w:color w:val="000000" w:themeColor="text1"/>
          <w:sz w:val="32"/>
          <w:szCs w:val="32"/>
          <w14:textFill>
            <w14:solidFill>
              <w14:schemeClr w14:val="tx1"/>
            </w14:solidFill>
          </w14:textFill>
        </w:rPr>
        <w:t>二是加强平台公司经营性债务管控。</w:t>
      </w:r>
      <w:r>
        <w:rPr>
          <w:rFonts w:eastAsia="仿宋_GB2312"/>
          <w:color w:val="000000" w:themeColor="text1"/>
          <w:sz w:val="32"/>
          <w:szCs w:val="32"/>
          <w14:textFill>
            <w14:solidFill>
              <w14:schemeClr w14:val="tx1"/>
            </w14:solidFill>
          </w14:textFill>
        </w:rPr>
        <w:t>对我县2021年6月底和12月底两个时点的各类债务余额开展专项审计，摸清债务家底并结合国有企业发展规划目标制定《2022-2026年经营性债务管控目标》。严格按照“只降不增”</w:t>
      </w:r>
      <w:r>
        <w:rPr>
          <w:rFonts w:hint="eastAsia" w:eastAsia="仿宋_GB2312"/>
          <w:color w:val="000000" w:themeColor="text1"/>
          <w:sz w:val="32"/>
          <w:szCs w:val="32"/>
          <w14:textFill>
            <w14:solidFill>
              <w14:schemeClr w14:val="tx1"/>
            </w14:solidFill>
          </w14:textFill>
        </w:rPr>
        <w:t>的</w:t>
      </w:r>
      <w:r>
        <w:rPr>
          <w:rFonts w:eastAsia="仿宋_GB2312"/>
          <w:color w:val="000000" w:themeColor="text1"/>
          <w:sz w:val="32"/>
          <w:szCs w:val="32"/>
          <w14:textFill>
            <w14:solidFill>
              <w14:schemeClr w14:val="tx1"/>
            </w14:solidFill>
          </w14:textFill>
        </w:rPr>
        <w:t>原则从严管控国有企业融资举债成本，逐步降低国有企业非标准化债务余额，今年我县国有企业总体融资年综合成本控制在7.5%以内，非标准化债务余额较2021年底有所下降。</w:t>
      </w:r>
      <w:r>
        <w:rPr>
          <w:rFonts w:eastAsia="仿宋_GB2312"/>
          <w:b/>
          <w:bCs/>
          <w:color w:val="000000" w:themeColor="text1"/>
          <w:sz w:val="32"/>
          <w:szCs w:val="32"/>
          <w14:textFill>
            <w14:solidFill>
              <w14:schemeClr w14:val="tx1"/>
            </w14:solidFill>
          </w14:textFill>
        </w:rPr>
        <w:t>三是严格债务监管。</w:t>
      </w:r>
      <w:r>
        <w:rPr>
          <w:rFonts w:eastAsia="仿宋_GB2312"/>
          <w:color w:val="000000" w:themeColor="text1"/>
          <w:sz w:val="32"/>
          <w:szCs w:val="32"/>
          <w14:textFill>
            <w14:solidFill>
              <w14:schemeClr w14:val="tx1"/>
            </w14:solidFill>
          </w14:textFill>
        </w:rPr>
        <w:t>根据省政府23号文件精神，坚持政府性债务“双降”原则（即政府性债务率和政府性债务规模双下降），切实规范投融资决策，控制经营性债务规模和融资成本，牢牢守住不发生区域性</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系统性风险的底线，切实防范和化解财政金融风险。</w:t>
      </w:r>
    </w:p>
    <w:p>
      <w:pPr>
        <w:widowControl/>
        <w:spacing w:line="560" w:lineRule="exact"/>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各位代表，过去的一年，我县财政运行总体平稳，全县财政预算执行情况总体良好，但我们也清醒认识到，财政运行中还存在一些困难和问题。</w:t>
      </w:r>
      <w:r>
        <w:rPr>
          <w:rFonts w:eastAsia="仿宋_GB2312"/>
          <w:color w:val="000000" w:themeColor="text1"/>
          <w:sz w:val="32"/>
          <w:szCs w:val="32"/>
          <w14:textFill>
            <w14:solidFill>
              <w14:schemeClr w14:val="tx1"/>
            </w14:solidFill>
          </w14:textFill>
        </w:rPr>
        <w:t>一是财政收支矛盾凸显，库款调度紧张。受新冠疫情冲击、经济下行压力及落实减税降费等因素综合影响，财政收入的不确定性因素增多，实现财政收入可持续增收的目标难度较大。但各领域财政支出增长刚性较强，“三保”支出和重大项目建设等方面资金需求较大。二是隐性债务化解资金压力较大。三是债券项目资金使用进度较慢等。我们将高度重视这些问题，努力加以研究解决。</w:t>
      </w:r>
    </w:p>
    <w:p>
      <w:pPr>
        <w:adjustRightInd w:val="0"/>
        <w:snapToGrid w:val="0"/>
        <w:spacing w:line="560" w:lineRule="exact"/>
        <w:ind w:firstLine="640" w:firstLineChars="200"/>
        <w:rPr>
          <w:rFonts w:eastAsia="黑体"/>
          <w:snapToGrid w:val="0"/>
          <w:color w:val="000000" w:themeColor="text1"/>
          <w:sz w:val="32"/>
          <w:szCs w:val="32"/>
          <w14:textFill>
            <w14:solidFill>
              <w14:schemeClr w14:val="tx1"/>
            </w14:solidFill>
          </w14:textFill>
        </w:rPr>
      </w:pPr>
      <w:r>
        <w:rPr>
          <w:rFonts w:eastAsia="黑体"/>
          <w:snapToGrid w:val="0"/>
          <w:color w:val="000000" w:themeColor="text1"/>
          <w:sz w:val="32"/>
          <w:szCs w:val="32"/>
          <w14:textFill>
            <w14:solidFill>
              <w14:schemeClr w14:val="tx1"/>
            </w14:solidFill>
          </w14:textFill>
        </w:rPr>
        <w:t>三、2023年财政预算（草案）</w:t>
      </w:r>
    </w:p>
    <w:p>
      <w:pPr>
        <w:adjustRightInd w:val="0"/>
        <w:snapToGrid w:val="0"/>
        <w:spacing w:line="560" w:lineRule="exact"/>
        <w:ind w:firstLine="640" w:firstLineChars="200"/>
        <w:rPr>
          <w:rFonts w:eastAsia="仿宋_GB2312"/>
          <w:snapToGrid w:val="0"/>
          <w:color w:val="000000" w:themeColor="text1"/>
          <w:sz w:val="32"/>
          <w:szCs w:val="32"/>
          <w14:textFill>
            <w14:solidFill>
              <w14:schemeClr w14:val="tx1"/>
            </w14:solidFill>
          </w14:textFill>
        </w:rPr>
      </w:pPr>
      <w:r>
        <w:rPr>
          <w:rFonts w:eastAsia="仿宋_GB2312"/>
          <w:snapToGrid w:val="0"/>
          <w:color w:val="000000" w:themeColor="text1"/>
          <w:sz w:val="32"/>
          <w:szCs w:val="32"/>
          <w14:textFill>
            <w14:solidFill>
              <w14:schemeClr w14:val="tx1"/>
            </w14:solidFill>
          </w14:textFill>
        </w:rPr>
        <w:t>根据县政府常务会议讨论意见，我县2023年财政预算（草案）为：</w:t>
      </w:r>
    </w:p>
    <w:p>
      <w:pPr>
        <w:adjustRightInd w:val="0"/>
        <w:snapToGrid w:val="0"/>
        <w:spacing w:line="560" w:lineRule="exact"/>
        <w:ind w:firstLine="640" w:firstLineChars="200"/>
        <w:rPr>
          <w:rFonts w:eastAsia="楷体_GB2312"/>
          <w:snapToGrid w:val="0"/>
          <w:color w:val="000000" w:themeColor="text1"/>
          <w:sz w:val="32"/>
          <w:szCs w:val="32"/>
          <w14:textFill>
            <w14:solidFill>
              <w14:schemeClr w14:val="tx1"/>
            </w14:solidFill>
          </w14:textFill>
        </w:rPr>
      </w:pPr>
      <w:r>
        <w:rPr>
          <w:rFonts w:eastAsia="楷体_GB2312"/>
          <w:snapToGrid w:val="0"/>
          <w:color w:val="000000" w:themeColor="text1"/>
          <w:sz w:val="32"/>
          <w:szCs w:val="32"/>
          <w14:textFill>
            <w14:solidFill>
              <w14:schemeClr w14:val="tx1"/>
            </w14:solidFill>
          </w14:textFill>
        </w:rPr>
        <w:t>（一）一般公共预算收支安排情况</w:t>
      </w:r>
    </w:p>
    <w:p>
      <w:pPr>
        <w:adjustRightInd w:val="0"/>
        <w:snapToGrid w:val="0"/>
        <w:spacing w:line="560" w:lineRule="exact"/>
        <w:ind w:firstLine="640" w:firstLineChars="200"/>
        <w:rPr>
          <w:rFonts w:eastAsia="仿宋_GB2312"/>
          <w:snapToGrid w:val="0"/>
          <w:color w:val="000000" w:themeColor="text1"/>
          <w:sz w:val="32"/>
          <w:szCs w:val="32"/>
          <w14:textFill>
            <w14:solidFill>
              <w14:schemeClr w14:val="tx1"/>
            </w14:solidFill>
          </w14:textFill>
        </w:rPr>
      </w:pPr>
      <w:r>
        <w:rPr>
          <w:rFonts w:eastAsia="仿宋_GB2312"/>
          <w:snapToGrid w:val="0"/>
          <w:color w:val="000000" w:themeColor="text1"/>
          <w:sz w:val="32"/>
          <w:szCs w:val="32"/>
          <w14:textFill>
            <w14:solidFill>
              <w14:schemeClr w14:val="tx1"/>
            </w14:solidFill>
          </w14:textFill>
        </w:rPr>
        <w:t>全县一般公共预算收入目标为30.01亿元（增幅10%）。全县安排一般公共预算支出为64.05亿元。</w:t>
      </w:r>
    </w:p>
    <w:p>
      <w:pPr>
        <w:adjustRightInd w:val="0"/>
        <w:snapToGrid w:val="0"/>
        <w:spacing w:line="560" w:lineRule="exact"/>
        <w:ind w:firstLine="640" w:firstLineChars="200"/>
        <w:rPr>
          <w:rFonts w:eastAsia="仿宋_GB2312"/>
          <w:snapToGrid w:val="0"/>
          <w:color w:val="000000" w:themeColor="text1"/>
          <w:sz w:val="32"/>
          <w:szCs w:val="32"/>
          <w14:textFill>
            <w14:solidFill>
              <w14:schemeClr w14:val="tx1"/>
            </w14:solidFill>
          </w14:textFill>
        </w:rPr>
      </w:pPr>
      <w:r>
        <w:rPr>
          <w:rFonts w:eastAsia="仿宋_GB2312"/>
          <w:snapToGrid w:val="0"/>
          <w:color w:val="000000" w:themeColor="text1"/>
          <w:sz w:val="32"/>
          <w:szCs w:val="32"/>
          <w14:textFill>
            <w14:solidFill>
              <w14:schemeClr w14:val="tx1"/>
            </w14:solidFill>
          </w14:textFill>
        </w:rPr>
        <w:t>县本级一般公共预算收入目标为10</w:t>
      </w:r>
      <w:r>
        <w:rPr>
          <w:rFonts w:hint="eastAsia" w:eastAsia="仿宋_GB2312"/>
          <w:snapToGrid w:val="0"/>
          <w:color w:val="000000" w:themeColor="text1"/>
          <w:sz w:val="32"/>
          <w:szCs w:val="32"/>
          <w14:textFill>
            <w14:solidFill>
              <w14:schemeClr w14:val="tx1"/>
            </w14:solidFill>
          </w14:textFill>
        </w:rPr>
        <w:t>.5</w:t>
      </w:r>
      <w:r>
        <w:rPr>
          <w:rFonts w:eastAsia="仿宋_GB2312"/>
          <w:snapToGrid w:val="0"/>
          <w:color w:val="000000" w:themeColor="text1"/>
          <w:sz w:val="32"/>
          <w:szCs w:val="32"/>
          <w14:textFill>
            <w14:solidFill>
              <w14:schemeClr w14:val="tx1"/>
            </w14:solidFill>
          </w14:textFill>
        </w:rPr>
        <w:t>亿元，上级补助收入18.9亿元</w:t>
      </w:r>
      <w:r>
        <w:rPr>
          <w:rFonts w:hint="eastAsia" w:eastAsia="仿宋_GB2312"/>
          <w:snapToGrid w:val="0"/>
          <w:color w:val="000000" w:themeColor="text1"/>
          <w:sz w:val="32"/>
          <w:szCs w:val="32"/>
          <w14:textFill>
            <w14:solidFill>
              <w14:schemeClr w14:val="tx1"/>
            </w14:solidFill>
          </w14:textFill>
        </w:rPr>
        <w:t>（含专项转移支付）</w:t>
      </w:r>
      <w:r>
        <w:rPr>
          <w:rFonts w:eastAsia="仿宋_GB2312"/>
          <w:snapToGrid w:val="0"/>
          <w:color w:val="000000" w:themeColor="text1"/>
          <w:sz w:val="32"/>
          <w:szCs w:val="32"/>
          <w14:textFill>
            <w14:solidFill>
              <w14:schemeClr w14:val="tx1"/>
            </w14:solidFill>
          </w14:textFill>
        </w:rPr>
        <w:t>，上年结转1.51亿元，地方政府一般债券转贷收入4.35亿元，镇级上解收入</w:t>
      </w:r>
      <w:r>
        <w:rPr>
          <w:rFonts w:hint="eastAsia" w:eastAsia="仿宋_GB2312"/>
          <w:snapToGrid w:val="0"/>
          <w:color w:val="000000" w:themeColor="text1"/>
          <w:sz w:val="32"/>
          <w:szCs w:val="32"/>
          <w14:textFill>
            <w14:solidFill>
              <w14:schemeClr w14:val="tx1"/>
            </w14:solidFill>
          </w14:textFill>
        </w:rPr>
        <w:t>3.2</w:t>
      </w:r>
      <w:r>
        <w:rPr>
          <w:rFonts w:eastAsia="仿宋_GB2312"/>
          <w:snapToGrid w:val="0"/>
          <w:color w:val="000000" w:themeColor="text1"/>
          <w:sz w:val="32"/>
          <w:szCs w:val="32"/>
          <w14:textFill>
            <w14:solidFill>
              <w14:schemeClr w14:val="tx1"/>
            </w14:solidFill>
          </w14:textFill>
        </w:rPr>
        <w:t>亿元，调入资金1</w:t>
      </w:r>
      <w:r>
        <w:rPr>
          <w:rFonts w:hint="eastAsia" w:eastAsia="仿宋_GB2312"/>
          <w:snapToGrid w:val="0"/>
          <w:color w:val="000000" w:themeColor="text1"/>
          <w:sz w:val="32"/>
          <w:szCs w:val="32"/>
          <w14:textFill>
            <w14:solidFill>
              <w14:schemeClr w14:val="tx1"/>
            </w14:solidFill>
          </w14:textFill>
        </w:rPr>
        <w:t>8.9</w:t>
      </w:r>
      <w:r>
        <w:rPr>
          <w:rFonts w:eastAsia="仿宋_GB2312"/>
          <w:snapToGrid w:val="0"/>
          <w:color w:val="000000" w:themeColor="text1"/>
          <w:sz w:val="32"/>
          <w:szCs w:val="32"/>
          <w14:textFill>
            <w14:solidFill>
              <w14:schemeClr w14:val="tx1"/>
            </w14:solidFill>
          </w14:textFill>
        </w:rPr>
        <w:t>1亿元，收入合计57.37亿元。县本级安排一般公共预算支出44.23亿元，上解上级支出6亿元，补助镇级支出3.5亿元，债务还本支出3.64亿元，支出合计57.37亿元，收支平衡。</w:t>
      </w:r>
    </w:p>
    <w:p>
      <w:pPr>
        <w:adjustRightInd w:val="0"/>
        <w:snapToGrid w:val="0"/>
        <w:spacing w:line="560" w:lineRule="exact"/>
        <w:ind w:firstLine="640" w:firstLineChars="200"/>
        <w:rPr>
          <w:rFonts w:eastAsia="仿宋_GB2312"/>
          <w:snapToGrid w:val="0"/>
          <w:color w:val="000000" w:themeColor="text1"/>
          <w:sz w:val="32"/>
          <w:szCs w:val="32"/>
          <w14:textFill>
            <w14:solidFill>
              <w14:schemeClr w14:val="tx1"/>
            </w14:solidFill>
          </w14:textFill>
        </w:rPr>
      </w:pPr>
      <w:r>
        <w:rPr>
          <w:rFonts w:eastAsia="仿宋_GB2312"/>
          <w:snapToGrid w:val="0"/>
          <w:color w:val="000000" w:themeColor="text1"/>
          <w:sz w:val="32"/>
          <w:szCs w:val="32"/>
          <w14:textFill>
            <w14:solidFill>
              <w14:schemeClr w14:val="tx1"/>
            </w14:solidFill>
          </w14:textFill>
        </w:rPr>
        <w:t>县经济开发区一般公共预算收入目标为9.93亿元，上级补助收入1.74亿元，收入合计11.67亿元。县</w:t>
      </w:r>
      <w:r>
        <w:rPr>
          <w:rFonts w:hint="eastAsia" w:eastAsia="仿宋_GB2312"/>
          <w:snapToGrid w:val="0"/>
          <w:color w:val="000000" w:themeColor="text1"/>
          <w:sz w:val="32"/>
          <w:szCs w:val="32"/>
          <w14:textFill>
            <w14:solidFill>
              <w14:schemeClr w14:val="tx1"/>
            </w14:solidFill>
          </w14:textFill>
        </w:rPr>
        <w:t>经济开发区</w:t>
      </w:r>
      <w:r>
        <w:rPr>
          <w:rFonts w:eastAsia="仿宋_GB2312"/>
          <w:snapToGrid w:val="0"/>
          <w:color w:val="000000" w:themeColor="text1"/>
          <w:sz w:val="32"/>
          <w:szCs w:val="32"/>
          <w14:textFill>
            <w14:solidFill>
              <w14:schemeClr w14:val="tx1"/>
            </w14:solidFill>
          </w14:textFill>
        </w:rPr>
        <w:t>安排一般公共预算支出11.67亿元，支出合计11.67亿元，收支平衡。</w:t>
      </w:r>
    </w:p>
    <w:p>
      <w:pPr>
        <w:adjustRightInd w:val="0"/>
        <w:snapToGrid w:val="0"/>
        <w:spacing w:line="560" w:lineRule="exact"/>
        <w:ind w:firstLine="640" w:firstLineChars="200"/>
        <w:rPr>
          <w:rFonts w:eastAsia="仿宋_GB2312"/>
          <w:snapToGrid w:val="0"/>
          <w:color w:val="000000" w:themeColor="text1"/>
          <w:sz w:val="32"/>
          <w:szCs w:val="32"/>
          <w14:textFill>
            <w14:solidFill>
              <w14:schemeClr w14:val="tx1"/>
            </w14:solidFill>
          </w14:textFill>
        </w:rPr>
      </w:pPr>
      <w:r>
        <w:rPr>
          <w:rFonts w:eastAsia="仿宋_GB2312"/>
          <w:snapToGrid w:val="0"/>
          <w:color w:val="000000" w:themeColor="text1"/>
          <w:sz w:val="32"/>
          <w:szCs w:val="32"/>
          <w14:textFill>
            <w14:solidFill>
              <w14:schemeClr w14:val="tx1"/>
            </w14:solidFill>
          </w14:textFill>
        </w:rPr>
        <w:t>黎城街道一般公共预算收入目标为3.5亿元，上级补助收入0.32亿元，收入合计3.82亿元。</w:t>
      </w:r>
      <w:r>
        <w:rPr>
          <w:rFonts w:hint="eastAsia" w:eastAsia="仿宋_GB2312"/>
          <w:snapToGrid w:val="0"/>
          <w:color w:val="000000" w:themeColor="text1"/>
          <w:sz w:val="32"/>
          <w:szCs w:val="32"/>
          <w14:textFill>
            <w14:solidFill>
              <w14:schemeClr w14:val="tx1"/>
            </w14:solidFill>
          </w14:textFill>
        </w:rPr>
        <w:t>黎城街道</w:t>
      </w:r>
      <w:r>
        <w:rPr>
          <w:rFonts w:eastAsia="仿宋_GB2312"/>
          <w:snapToGrid w:val="0"/>
          <w:color w:val="000000" w:themeColor="text1"/>
          <w:sz w:val="32"/>
          <w:szCs w:val="32"/>
          <w14:textFill>
            <w14:solidFill>
              <w14:schemeClr w14:val="tx1"/>
            </w14:solidFill>
          </w14:textFill>
        </w:rPr>
        <w:t>安排一般公共预算支出1.97亿元，</w:t>
      </w:r>
      <w:r>
        <w:rPr>
          <w:rFonts w:hint="eastAsia" w:eastAsia="仿宋_GB2312"/>
          <w:snapToGrid w:val="0"/>
          <w:color w:val="000000" w:themeColor="text1"/>
          <w:sz w:val="32"/>
          <w:szCs w:val="32"/>
          <w14:textFill>
            <w14:solidFill>
              <w14:schemeClr w14:val="tx1"/>
            </w14:solidFill>
          </w14:textFill>
        </w:rPr>
        <w:t>上解上级支出1</w:t>
      </w:r>
      <w:r>
        <w:rPr>
          <w:rFonts w:eastAsia="仿宋_GB2312"/>
          <w:snapToGrid w:val="0"/>
          <w:color w:val="000000" w:themeColor="text1"/>
          <w:sz w:val="32"/>
          <w:szCs w:val="32"/>
          <w14:textFill>
            <w14:solidFill>
              <w14:schemeClr w14:val="tx1"/>
            </w14:solidFill>
          </w14:textFill>
        </w:rPr>
        <w:t>.85</w:t>
      </w:r>
      <w:r>
        <w:rPr>
          <w:rFonts w:hint="eastAsia" w:eastAsia="仿宋_GB2312"/>
          <w:snapToGrid w:val="0"/>
          <w:color w:val="000000" w:themeColor="text1"/>
          <w:sz w:val="32"/>
          <w:szCs w:val="32"/>
          <w14:textFill>
            <w14:solidFill>
              <w14:schemeClr w14:val="tx1"/>
            </w14:solidFill>
          </w14:textFill>
        </w:rPr>
        <w:t>亿元，</w:t>
      </w:r>
      <w:r>
        <w:rPr>
          <w:rFonts w:eastAsia="仿宋_GB2312"/>
          <w:snapToGrid w:val="0"/>
          <w:color w:val="000000" w:themeColor="text1"/>
          <w:sz w:val="32"/>
          <w:szCs w:val="32"/>
          <w14:textFill>
            <w14:solidFill>
              <w14:schemeClr w14:val="tx1"/>
            </w14:solidFill>
          </w14:textFill>
        </w:rPr>
        <w:t>支出合计3.82亿元，收支平衡。</w:t>
      </w:r>
    </w:p>
    <w:p>
      <w:pPr>
        <w:adjustRightInd w:val="0"/>
        <w:snapToGrid w:val="0"/>
        <w:spacing w:line="560" w:lineRule="exact"/>
        <w:ind w:firstLine="640" w:firstLineChars="200"/>
        <w:rPr>
          <w:rFonts w:eastAsia="仿宋_GB2312"/>
          <w:snapToGrid w:val="0"/>
          <w:color w:val="000000" w:themeColor="text1"/>
          <w:sz w:val="32"/>
          <w:szCs w:val="32"/>
          <w14:textFill>
            <w14:solidFill>
              <w14:schemeClr w14:val="tx1"/>
            </w14:solidFill>
          </w14:textFill>
        </w:rPr>
      </w:pPr>
      <w:r>
        <w:rPr>
          <w:rFonts w:eastAsia="仿宋_GB2312"/>
          <w:snapToGrid w:val="0"/>
          <w:color w:val="000000" w:themeColor="text1"/>
          <w:sz w:val="32"/>
          <w:szCs w:val="32"/>
          <w14:textFill>
            <w14:solidFill>
              <w14:schemeClr w14:val="tx1"/>
            </w14:solidFill>
          </w14:textFill>
        </w:rPr>
        <w:t>戴楼街道一般公共预算收入目标为0.81亿元，上级补助收入0.16亿元，收入合计0.97亿元。</w:t>
      </w:r>
      <w:r>
        <w:rPr>
          <w:rFonts w:hint="eastAsia" w:eastAsia="仿宋_GB2312"/>
          <w:snapToGrid w:val="0"/>
          <w:color w:val="000000" w:themeColor="text1"/>
          <w:sz w:val="32"/>
          <w:szCs w:val="32"/>
          <w14:textFill>
            <w14:solidFill>
              <w14:schemeClr w14:val="tx1"/>
            </w14:solidFill>
          </w14:textFill>
        </w:rPr>
        <w:t>戴楼街道</w:t>
      </w:r>
      <w:r>
        <w:rPr>
          <w:rFonts w:eastAsia="仿宋_GB2312"/>
          <w:snapToGrid w:val="0"/>
          <w:color w:val="000000" w:themeColor="text1"/>
          <w:sz w:val="32"/>
          <w:szCs w:val="32"/>
          <w14:textFill>
            <w14:solidFill>
              <w14:schemeClr w14:val="tx1"/>
            </w14:solidFill>
          </w14:textFill>
        </w:rPr>
        <w:t>安排一般公共预算支出0.67亿元，</w:t>
      </w:r>
      <w:r>
        <w:rPr>
          <w:rFonts w:hint="eastAsia" w:eastAsia="仿宋_GB2312"/>
          <w:snapToGrid w:val="0"/>
          <w:color w:val="000000" w:themeColor="text1"/>
          <w:sz w:val="32"/>
          <w:szCs w:val="32"/>
          <w14:textFill>
            <w14:solidFill>
              <w14:schemeClr w14:val="tx1"/>
            </w14:solidFill>
          </w14:textFill>
        </w:rPr>
        <w:t>上解上级支出</w:t>
      </w:r>
      <w:r>
        <w:rPr>
          <w:rFonts w:eastAsia="仿宋_GB2312"/>
          <w:snapToGrid w:val="0"/>
          <w:color w:val="000000" w:themeColor="text1"/>
          <w:sz w:val="32"/>
          <w:szCs w:val="32"/>
          <w14:textFill>
            <w14:solidFill>
              <w14:schemeClr w14:val="tx1"/>
            </w14:solidFill>
          </w14:textFill>
        </w:rPr>
        <w:t>0.3</w:t>
      </w:r>
      <w:r>
        <w:rPr>
          <w:rFonts w:hint="eastAsia" w:eastAsia="仿宋_GB2312"/>
          <w:snapToGrid w:val="0"/>
          <w:color w:val="000000" w:themeColor="text1"/>
          <w:sz w:val="32"/>
          <w:szCs w:val="32"/>
          <w14:textFill>
            <w14:solidFill>
              <w14:schemeClr w14:val="tx1"/>
            </w14:solidFill>
          </w14:textFill>
        </w:rPr>
        <w:t>亿元，</w:t>
      </w:r>
      <w:r>
        <w:rPr>
          <w:rFonts w:eastAsia="仿宋_GB2312"/>
          <w:snapToGrid w:val="0"/>
          <w:color w:val="000000" w:themeColor="text1"/>
          <w:sz w:val="32"/>
          <w:szCs w:val="32"/>
          <w14:textFill>
            <w14:solidFill>
              <w14:schemeClr w14:val="tx1"/>
            </w14:solidFill>
          </w14:textFill>
        </w:rPr>
        <w:t>支出合计0.97亿元，收支平衡。</w:t>
      </w:r>
    </w:p>
    <w:p>
      <w:pPr>
        <w:adjustRightInd w:val="0"/>
        <w:snapToGrid w:val="0"/>
        <w:spacing w:line="560" w:lineRule="exact"/>
        <w:ind w:firstLine="640" w:firstLineChars="200"/>
        <w:rPr>
          <w:rFonts w:eastAsia="仿宋_GB2312"/>
          <w:snapToGrid w:val="0"/>
          <w:color w:val="000000" w:themeColor="text1"/>
          <w:sz w:val="32"/>
          <w:szCs w:val="32"/>
          <w14:textFill>
            <w14:solidFill>
              <w14:schemeClr w14:val="tx1"/>
            </w14:solidFill>
          </w14:textFill>
        </w:rPr>
      </w:pPr>
      <w:r>
        <w:rPr>
          <w:rFonts w:eastAsia="仿宋_GB2312"/>
          <w:snapToGrid w:val="0"/>
          <w:color w:val="000000" w:themeColor="text1"/>
          <w:sz w:val="32"/>
          <w:szCs w:val="32"/>
          <w14:textFill>
            <w14:solidFill>
              <w14:schemeClr w14:val="tx1"/>
            </w14:solidFill>
          </w14:textFill>
        </w:rPr>
        <w:t>金北街道一般公共预算收入目标为0.75亿元，上级补助收入0.17亿元，收入合计0.92亿元。</w:t>
      </w:r>
      <w:r>
        <w:rPr>
          <w:rFonts w:hint="eastAsia" w:eastAsia="仿宋_GB2312"/>
          <w:snapToGrid w:val="0"/>
          <w:color w:val="000000" w:themeColor="text1"/>
          <w:sz w:val="32"/>
          <w:szCs w:val="32"/>
          <w14:textFill>
            <w14:solidFill>
              <w14:schemeClr w14:val="tx1"/>
            </w14:solidFill>
          </w14:textFill>
        </w:rPr>
        <w:t>金北街道</w:t>
      </w:r>
      <w:r>
        <w:rPr>
          <w:rFonts w:eastAsia="仿宋_GB2312"/>
          <w:snapToGrid w:val="0"/>
          <w:color w:val="000000" w:themeColor="text1"/>
          <w:sz w:val="32"/>
          <w:szCs w:val="32"/>
          <w14:textFill>
            <w14:solidFill>
              <w14:schemeClr w14:val="tx1"/>
            </w14:solidFill>
          </w14:textFill>
        </w:rPr>
        <w:t>安排一般公共预算支出0.7亿元，</w:t>
      </w:r>
      <w:r>
        <w:rPr>
          <w:rFonts w:hint="eastAsia" w:eastAsia="仿宋_GB2312"/>
          <w:snapToGrid w:val="0"/>
          <w:color w:val="000000" w:themeColor="text1"/>
          <w:sz w:val="32"/>
          <w:szCs w:val="32"/>
          <w14:textFill>
            <w14:solidFill>
              <w14:schemeClr w14:val="tx1"/>
            </w14:solidFill>
          </w14:textFill>
        </w:rPr>
        <w:t>上解上级支出</w:t>
      </w:r>
      <w:r>
        <w:rPr>
          <w:rFonts w:eastAsia="仿宋_GB2312"/>
          <w:snapToGrid w:val="0"/>
          <w:color w:val="000000" w:themeColor="text1"/>
          <w:sz w:val="32"/>
          <w:szCs w:val="32"/>
          <w14:textFill>
            <w14:solidFill>
              <w14:schemeClr w14:val="tx1"/>
            </w14:solidFill>
          </w14:textFill>
        </w:rPr>
        <w:t>0.22</w:t>
      </w:r>
      <w:r>
        <w:rPr>
          <w:rFonts w:hint="eastAsia" w:eastAsia="仿宋_GB2312"/>
          <w:snapToGrid w:val="0"/>
          <w:color w:val="000000" w:themeColor="text1"/>
          <w:sz w:val="32"/>
          <w:szCs w:val="32"/>
          <w14:textFill>
            <w14:solidFill>
              <w14:schemeClr w14:val="tx1"/>
            </w14:solidFill>
          </w14:textFill>
        </w:rPr>
        <w:t>亿元，</w:t>
      </w:r>
      <w:r>
        <w:rPr>
          <w:rFonts w:eastAsia="仿宋_GB2312"/>
          <w:snapToGrid w:val="0"/>
          <w:color w:val="000000" w:themeColor="text1"/>
          <w:sz w:val="32"/>
          <w:szCs w:val="32"/>
          <w14:textFill>
            <w14:solidFill>
              <w14:schemeClr w14:val="tx1"/>
            </w14:solidFill>
          </w14:textFill>
        </w:rPr>
        <w:t>支出合计0.92亿元，收支平衡。</w:t>
      </w:r>
    </w:p>
    <w:p>
      <w:pPr>
        <w:adjustRightInd w:val="0"/>
        <w:snapToGrid w:val="0"/>
        <w:spacing w:line="560" w:lineRule="exact"/>
        <w:ind w:firstLine="640" w:firstLineChars="200"/>
        <w:rPr>
          <w:rFonts w:eastAsia="楷体_GB2312"/>
          <w:snapToGrid w:val="0"/>
          <w:color w:val="000000" w:themeColor="text1"/>
          <w:sz w:val="32"/>
          <w:szCs w:val="32"/>
          <w14:textFill>
            <w14:solidFill>
              <w14:schemeClr w14:val="tx1"/>
            </w14:solidFill>
          </w14:textFill>
        </w:rPr>
      </w:pPr>
      <w:r>
        <w:rPr>
          <w:rFonts w:eastAsia="楷体_GB2312"/>
          <w:snapToGrid w:val="0"/>
          <w:color w:val="000000" w:themeColor="text1"/>
          <w:sz w:val="32"/>
          <w:szCs w:val="32"/>
          <w14:textFill>
            <w14:solidFill>
              <w14:schemeClr w14:val="tx1"/>
            </w14:solidFill>
          </w14:textFill>
        </w:rPr>
        <w:t>（二）政府性基金预算收支安排情况</w:t>
      </w:r>
    </w:p>
    <w:p>
      <w:pPr>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全县政府性基金收入目标为</w:t>
      </w:r>
      <w:r>
        <w:rPr>
          <w:rFonts w:eastAsia="仿宋_GB2312"/>
          <w:snapToGrid w:val="0"/>
          <w:color w:val="000000" w:themeColor="text1"/>
          <w:sz w:val="32"/>
          <w:szCs w:val="32"/>
          <w14:textFill>
            <w14:solidFill>
              <w14:schemeClr w14:val="tx1"/>
            </w14:solidFill>
          </w14:textFill>
        </w:rPr>
        <w:t>28.4</w:t>
      </w:r>
      <w:r>
        <w:rPr>
          <w:rFonts w:eastAsia="仿宋_GB2312"/>
          <w:color w:val="000000" w:themeColor="text1"/>
          <w:sz w:val="32"/>
          <w:szCs w:val="32"/>
          <w14:textFill>
            <w14:solidFill>
              <w14:schemeClr w14:val="tx1"/>
            </w14:solidFill>
          </w14:textFill>
        </w:rPr>
        <w:t>亿元，全县安排政府性基金支出为</w:t>
      </w:r>
      <w:r>
        <w:rPr>
          <w:rFonts w:eastAsia="仿宋_GB2312"/>
          <w:snapToGrid w:val="0"/>
          <w:color w:val="000000" w:themeColor="text1"/>
          <w:sz w:val="32"/>
          <w:szCs w:val="32"/>
          <w14:textFill>
            <w14:solidFill>
              <w14:schemeClr w14:val="tx1"/>
            </w14:solidFill>
          </w14:textFill>
        </w:rPr>
        <w:t>23.5</w:t>
      </w:r>
      <w:r>
        <w:rPr>
          <w:rFonts w:hint="eastAsia" w:eastAsia="仿宋_GB2312"/>
          <w:snapToGrid w:val="0"/>
          <w:color w:val="000000" w:themeColor="text1"/>
          <w:sz w:val="32"/>
          <w:szCs w:val="32"/>
          <w14:textFill>
            <w14:solidFill>
              <w14:schemeClr w14:val="tx1"/>
            </w14:solidFill>
          </w14:textFill>
        </w:rPr>
        <w:t>6</w:t>
      </w:r>
      <w:r>
        <w:rPr>
          <w:rFonts w:eastAsia="仿宋_GB2312"/>
          <w:color w:val="000000" w:themeColor="text1"/>
          <w:sz w:val="32"/>
          <w:szCs w:val="32"/>
          <w14:textFill>
            <w14:solidFill>
              <w14:schemeClr w14:val="tx1"/>
            </w14:solidFill>
          </w14:textFill>
        </w:rPr>
        <w:t>亿元。</w:t>
      </w:r>
    </w:p>
    <w:p>
      <w:pPr>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县本级政府性基金收入目标为</w:t>
      </w:r>
      <w:r>
        <w:rPr>
          <w:rFonts w:eastAsia="仿宋_GB2312"/>
          <w:snapToGrid w:val="0"/>
          <w:color w:val="000000" w:themeColor="text1"/>
          <w:sz w:val="32"/>
          <w:szCs w:val="32"/>
          <w14:textFill>
            <w14:solidFill>
              <w14:schemeClr w14:val="tx1"/>
            </w14:solidFill>
          </w14:textFill>
        </w:rPr>
        <w:t>28.4</w:t>
      </w:r>
      <w:r>
        <w:rPr>
          <w:rFonts w:eastAsia="仿宋_GB2312"/>
          <w:color w:val="000000" w:themeColor="text1"/>
          <w:sz w:val="32"/>
          <w:szCs w:val="32"/>
          <w14:textFill>
            <w14:solidFill>
              <w14:schemeClr w14:val="tx1"/>
            </w14:solidFill>
          </w14:textFill>
        </w:rPr>
        <w:t>亿元，其中：国有土地使用权出让收入</w:t>
      </w:r>
      <w:r>
        <w:rPr>
          <w:rFonts w:eastAsia="仿宋_GB2312"/>
          <w:snapToGrid w:val="0"/>
          <w:color w:val="000000" w:themeColor="text1"/>
          <w:sz w:val="32"/>
          <w:szCs w:val="32"/>
          <w14:textFill>
            <w14:solidFill>
              <w14:schemeClr w14:val="tx1"/>
            </w14:solidFill>
          </w14:textFill>
        </w:rPr>
        <w:t>28.05</w:t>
      </w:r>
      <w:r>
        <w:rPr>
          <w:rFonts w:eastAsia="仿宋_GB2312"/>
          <w:color w:val="000000" w:themeColor="text1"/>
          <w:sz w:val="32"/>
          <w:szCs w:val="32"/>
          <w14:textFill>
            <w14:solidFill>
              <w14:schemeClr w14:val="tx1"/>
            </w14:solidFill>
          </w14:textFill>
        </w:rPr>
        <w:t>亿元，城市基本设施配套费收入</w:t>
      </w:r>
      <w:r>
        <w:rPr>
          <w:rFonts w:eastAsia="仿宋_GB2312"/>
          <w:snapToGrid w:val="0"/>
          <w:color w:val="000000" w:themeColor="text1"/>
          <w:sz w:val="32"/>
          <w:szCs w:val="32"/>
          <w14:textFill>
            <w14:solidFill>
              <w14:schemeClr w14:val="tx1"/>
            </w14:solidFill>
          </w14:textFill>
        </w:rPr>
        <w:t>0.</w:t>
      </w:r>
      <w:r>
        <w:rPr>
          <w:rFonts w:hint="eastAsia" w:eastAsia="仿宋_GB2312"/>
          <w:snapToGrid w:val="0"/>
          <w:color w:val="000000" w:themeColor="text1"/>
          <w:sz w:val="32"/>
          <w:szCs w:val="32"/>
          <w14:textFill>
            <w14:solidFill>
              <w14:schemeClr w14:val="tx1"/>
            </w14:solidFill>
          </w14:textFill>
        </w:rPr>
        <w:t>2</w:t>
      </w:r>
      <w:r>
        <w:rPr>
          <w:rFonts w:eastAsia="仿宋_GB2312"/>
          <w:color w:val="000000" w:themeColor="text1"/>
          <w:sz w:val="32"/>
          <w:szCs w:val="32"/>
          <w14:textFill>
            <w14:solidFill>
              <w14:schemeClr w14:val="tx1"/>
            </w14:solidFill>
          </w14:textFill>
        </w:rPr>
        <w:t>亿元，污水处理费收入</w:t>
      </w:r>
      <w:r>
        <w:rPr>
          <w:rFonts w:eastAsia="仿宋_GB2312"/>
          <w:snapToGrid w:val="0"/>
          <w:color w:val="000000" w:themeColor="text1"/>
          <w:sz w:val="32"/>
          <w:szCs w:val="32"/>
          <w14:textFill>
            <w14:solidFill>
              <w14:schemeClr w14:val="tx1"/>
            </w14:solidFill>
          </w14:textFill>
        </w:rPr>
        <w:t>0.05</w:t>
      </w:r>
      <w:r>
        <w:rPr>
          <w:rFonts w:eastAsia="仿宋_GB2312"/>
          <w:color w:val="000000" w:themeColor="text1"/>
          <w:sz w:val="32"/>
          <w:szCs w:val="32"/>
          <w14:textFill>
            <w14:solidFill>
              <w14:schemeClr w14:val="tx1"/>
            </w14:solidFill>
          </w14:textFill>
        </w:rPr>
        <w:t>亿元，彩票公益金收入</w:t>
      </w:r>
      <w:r>
        <w:rPr>
          <w:rFonts w:eastAsia="仿宋_GB2312"/>
          <w:snapToGrid w:val="0"/>
          <w:color w:val="000000" w:themeColor="text1"/>
          <w:sz w:val="32"/>
          <w:szCs w:val="32"/>
          <w14:textFill>
            <w14:solidFill>
              <w14:schemeClr w14:val="tx1"/>
            </w14:solidFill>
          </w14:textFill>
        </w:rPr>
        <w:t>0.08</w:t>
      </w:r>
      <w:r>
        <w:rPr>
          <w:rFonts w:eastAsia="仿宋_GB2312"/>
          <w:color w:val="000000" w:themeColor="text1"/>
          <w:sz w:val="32"/>
          <w:szCs w:val="32"/>
          <w14:textFill>
            <w14:solidFill>
              <w14:schemeClr w14:val="tx1"/>
            </w14:solidFill>
          </w14:textFill>
        </w:rPr>
        <w:t>亿元，彩票发行机构和彩票销售机构的业务费收入</w:t>
      </w:r>
      <w:r>
        <w:rPr>
          <w:rFonts w:eastAsia="仿宋_GB2312"/>
          <w:snapToGrid w:val="0"/>
          <w:color w:val="000000" w:themeColor="text1"/>
          <w:sz w:val="32"/>
          <w:szCs w:val="32"/>
          <w14:textFill>
            <w14:solidFill>
              <w14:schemeClr w14:val="tx1"/>
            </w14:solidFill>
          </w14:textFill>
        </w:rPr>
        <w:t>0.02</w:t>
      </w:r>
      <w:r>
        <w:rPr>
          <w:rFonts w:eastAsia="仿宋_GB2312"/>
          <w:color w:val="000000" w:themeColor="text1"/>
          <w:sz w:val="32"/>
          <w:szCs w:val="32"/>
          <w14:textFill>
            <w14:solidFill>
              <w14:schemeClr w14:val="tx1"/>
            </w14:solidFill>
          </w14:textFill>
        </w:rPr>
        <w:t>亿元。上年结转</w:t>
      </w:r>
      <w:r>
        <w:rPr>
          <w:rFonts w:eastAsia="仿宋_GB2312"/>
          <w:snapToGrid w:val="0"/>
          <w:color w:val="000000" w:themeColor="text1"/>
          <w:sz w:val="32"/>
          <w:szCs w:val="32"/>
          <w14:textFill>
            <w14:solidFill>
              <w14:schemeClr w14:val="tx1"/>
            </w14:solidFill>
          </w14:textFill>
        </w:rPr>
        <w:t>6.</w:t>
      </w:r>
      <w:r>
        <w:rPr>
          <w:rFonts w:hint="eastAsia" w:eastAsia="仿宋_GB2312"/>
          <w:snapToGrid w:val="0"/>
          <w:color w:val="000000" w:themeColor="text1"/>
          <w:sz w:val="32"/>
          <w:szCs w:val="32"/>
          <w14:textFill>
            <w14:solidFill>
              <w14:schemeClr w14:val="tx1"/>
            </w14:solidFill>
          </w14:textFill>
        </w:rPr>
        <w:t>09</w:t>
      </w:r>
      <w:r>
        <w:rPr>
          <w:rFonts w:eastAsia="仿宋_GB2312"/>
          <w:color w:val="000000" w:themeColor="text1"/>
          <w:sz w:val="32"/>
          <w:szCs w:val="32"/>
          <w14:textFill>
            <w14:solidFill>
              <w14:schemeClr w14:val="tx1"/>
            </w14:solidFill>
          </w14:textFill>
        </w:rPr>
        <w:t>亿元，地方政府专项债券转贷收入</w:t>
      </w:r>
      <w:r>
        <w:rPr>
          <w:rFonts w:eastAsia="仿宋_GB2312"/>
          <w:snapToGrid w:val="0"/>
          <w:color w:val="000000" w:themeColor="text1"/>
          <w:sz w:val="32"/>
          <w:szCs w:val="32"/>
          <w14:textFill>
            <w14:solidFill>
              <w14:schemeClr w14:val="tx1"/>
            </w14:solidFill>
          </w14:textFill>
        </w:rPr>
        <w:t>6.53</w:t>
      </w:r>
      <w:r>
        <w:rPr>
          <w:rFonts w:eastAsia="仿宋_GB2312"/>
          <w:color w:val="000000" w:themeColor="text1"/>
          <w:sz w:val="32"/>
          <w:szCs w:val="32"/>
          <w14:textFill>
            <w14:solidFill>
              <w14:schemeClr w14:val="tx1"/>
            </w14:solidFill>
          </w14:textFill>
        </w:rPr>
        <w:t>亿元，收入合计</w:t>
      </w:r>
      <w:r>
        <w:rPr>
          <w:rFonts w:eastAsia="仿宋_GB2312"/>
          <w:snapToGrid w:val="0"/>
          <w:color w:val="000000" w:themeColor="text1"/>
          <w:sz w:val="32"/>
          <w:szCs w:val="32"/>
          <w14:textFill>
            <w14:solidFill>
              <w14:schemeClr w14:val="tx1"/>
            </w14:solidFill>
          </w14:textFill>
        </w:rPr>
        <w:t>41.02</w:t>
      </w:r>
      <w:r>
        <w:rPr>
          <w:rFonts w:eastAsia="仿宋_GB2312"/>
          <w:color w:val="000000" w:themeColor="text1"/>
          <w:sz w:val="32"/>
          <w:szCs w:val="32"/>
          <w14:textFill>
            <w14:solidFill>
              <w14:schemeClr w14:val="tx1"/>
            </w14:solidFill>
          </w14:textFill>
        </w:rPr>
        <w:t>亿元。县本级安排政府性基金支出</w:t>
      </w:r>
      <w:r>
        <w:rPr>
          <w:rFonts w:eastAsia="仿宋_GB2312"/>
          <w:snapToGrid w:val="0"/>
          <w:color w:val="000000" w:themeColor="text1"/>
          <w:sz w:val="32"/>
          <w:szCs w:val="32"/>
          <w14:textFill>
            <w14:solidFill>
              <w14:schemeClr w14:val="tx1"/>
            </w14:solidFill>
          </w14:textFill>
        </w:rPr>
        <w:t>22.56</w:t>
      </w:r>
      <w:r>
        <w:rPr>
          <w:rFonts w:eastAsia="仿宋_GB2312"/>
          <w:color w:val="000000" w:themeColor="text1"/>
          <w:sz w:val="32"/>
          <w:szCs w:val="32"/>
          <w14:textFill>
            <w14:solidFill>
              <w14:schemeClr w14:val="tx1"/>
            </w14:solidFill>
          </w14:textFill>
        </w:rPr>
        <w:t>亿元，补助下级支出</w:t>
      </w:r>
      <w:r>
        <w:rPr>
          <w:rFonts w:eastAsia="仿宋_GB2312"/>
          <w:snapToGrid w:val="0"/>
          <w:color w:val="000000" w:themeColor="text1"/>
          <w:sz w:val="32"/>
          <w:szCs w:val="32"/>
          <w14:textFill>
            <w14:solidFill>
              <w14:schemeClr w14:val="tx1"/>
            </w14:solidFill>
          </w14:textFill>
        </w:rPr>
        <w:t>1</w:t>
      </w:r>
      <w:r>
        <w:rPr>
          <w:rFonts w:eastAsia="仿宋_GB2312"/>
          <w:color w:val="000000" w:themeColor="text1"/>
          <w:sz w:val="32"/>
          <w:szCs w:val="32"/>
          <w14:textFill>
            <w14:solidFill>
              <w14:schemeClr w14:val="tx1"/>
            </w14:solidFill>
          </w14:textFill>
        </w:rPr>
        <w:t>亿元，上解上级支出0.33亿元，调出资金</w:t>
      </w:r>
      <w:r>
        <w:rPr>
          <w:rFonts w:eastAsia="仿宋_GB2312"/>
          <w:snapToGrid w:val="0"/>
          <w:color w:val="000000" w:themeColor="text1"/>
          <w:sz w:val="32"/>
          <w:szCs w:val="32"/>
          <w14:textFill>
            <w14:solidFill>
              <w14:schemeClr w14:val="tx1"/>
            </w14:solidFill>
          </w14:textFill>
        </w:rPr>
        <w:t>14.63</w:t>
      </w:r>
      <w:r>
        <w:rPr>
          <w:rFonts w:eastAsia="仿宋_GB2312"/>
          <w:color w:val="000000" w:themeColor="text1"/>
          <w:sz w:val="32"/>
          <w:szCs w:val="32"/>
          <w14:textFill>
            <w14:solidFill>
              <w14:schemeClr w14:val="tx1"/>
            </w14:solidFill>
          </w14:textFill>
        </w:rPr>
        <w:t>亿元，地方政府专项债务还本支出</w:t>
      </w:r>
      <w:r>
        <w:rPr>
          <w:rFonts w:eastAsia="仿宋_GB2312"/>
          <w:snapToGrid w:val="0"/>
          <w:color w:val="000000" w:themeColor="text1"/>
          <w:sz w:val="32"/>
          <w:szCs w:val="32"/>
          <w14:textFill>
            <w14:solidFill>
              <w14:schemeClr w14:val="tx1"/>
            </w14:solidFill>
          </w14:textFill>
        </w:rPr>
        <w:t>2.5</w:t>
      </w:r>
      <w:r>
        <w:rPr>
          <w:rFonts w:eastAsia="仿宋_GB2312"/>
          <w:color w:val="000000" w:themeColor="text1"/>
          <w:sz w:val="32"/>
          <w:szCs w:val="32"/>
          <w14:textFill>
            <w14:solidFill>
              <w14:schemeClr w14:val="tx1"/>
            </w14:solidFill>
          </w14:textFill>
        </w:rPr>
        <w:t>亿元，支出合计</w:t>
      </w:r>
      <w:r>
        <w:rPr>
          <w:rFonts w:eastAsia="仿宋_GB2312"/>
          <w:snapToGrid w:val="0"/>
          <w:color w:val="000000" w:themeColor="text1"/>
          <w:sz w:val="32"/>
          <w:szCs w:val="32"/>
          <w14:textFill>
            <w14:solidFill>
              <w14:schemeClr w14:val="tx1"/>
            </w14:solidFill>
          </w14:textFill>
        </w:rPr>
        <w:t>41.02</w:t>
      </w:r>
      <w:r>
        <w:rPr>
          <w:rFonts w:eastAsia="仿宋_GB2312"/>
          <w:color w:val="000000" w:themeColor="text1"/>
          <w:sz w:val="32"/>
          <w:szCs w:val="32"/>
          <w14:textFill>
            <w14:solidFill>
              <w14:schemeClr w14:val="tx1"/>
            </w14:solidFill>
          </w14:textFill>
        </w:rPr>
        <w:t>亿元，收支平衡。</w:t>
      </w:r>
    </w:p>
    <w:p>
      <w:pPr>
        <w:adjustRightInd w:val="0"/>
        <w:snapToGrid w:val="0"/>
        <w:spacing w:line="560" w:lineRule="exact"/>
        <w:ind w:firstLine="640" w:firstLineChars="200"/>
        <w:rPr>
          <w:rFonts w:eastAsia="楷体_GB2312"/>
          <w:snapToGrid w:val="0"/>
          <w:color w:val="000000" w:themeColor="text1"/>
          <w:sz w:val="32"/>
          <w:szCs w:val="32"/>
          <w14:textFill>
            <w14:solidFill>
              <w14:schemeClr w14:val="tx1"/>
            </w14:solidFill>
          </w14:textFill>
        </w:rPr>
      </w:pPr>
      <w:r>
        <w:rPr>
          <w:rFonts w:eastAsia="楷体_GB2312"/>
          <w:snapToGrid w:val="0"/>
          <w:color w:val="000000" w:themeColor="text1"/>
          <w:sz w:val="32"/>
          <w:szCs w:val="32"/>
          <w14:textFill>
            <w14:solidFill>
              <w14:schemeClr w14:val="tx1"/>
            </w14:solidFill>
          </w14:textFill>
        </w:rPr>
        <w:t>（三）国有资本经营预算收支安排情况</w:t>
      </w:r>
    </w:p>
    <w:p>
      <w:pPr>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全县国有资本经营预算收入目标为</w:t>
      </w:r>
      <w:r>
        <w:rPr>
          <w:rFonts w:eastAsia="仿宋_GB2312"/>
          <w:snapToGrid w:val="0"/>
          <w:color w:val="000000" w:themeColor="text1"/>
          <w:sz w:val="32"/>
          <w:szCs w:val="32"/>
          <w14:textFill>
            <w14:solidFill>
              <w14:schemeClr w14:val="tx1"/>
            </w14:solidFill>
          </w14:textFill>
        </w:rPr>
        <w:t>4.28</w:t>
      </w:r>
      <w:r>
        <w:rPr>
          <w:rFonts w:eastAsia="仿宋_GB2312"/>
          <w:color w:val="000000" w:themeColor="text1"/>
          <w:sz w:val="32"/>
          <w:szCs w:val="32"/>
          <w14:textFill>
            <w14:solidFill>
              <w14:schemeClr w14:val="tx1"/>
            </w14:solidFill>
          </w14:textFill>
        </w:rPr>
        <w:t>亿元，收入合计</w:t>
      </w:r>
      <w:r>
        <w:rPr>
          <w:rFonts w:eastAsia="仿宋_GB2312"/>
          <w:snapToGrid w:val="0"/>
          <w:color w:val="000000" w:themeColor="text1"/>
          <w:sz w:val="32"/>
          <w:szCs w:val="32"/>
          <w14:textFill>
            <w14:solidFill>
              <w14:schemeClr w14:val="tx1"/>
            </w14:solidFill>
          </w14:textFill>
        </w:rPr>
        <w:t>4.28</w:t>
      </w:r>
      <w:r>
        <w:rPr>
          <w:rFonts w:eastAsia="仿宋_GB2312"/>
          <w:color w:val="000000" w:themeColor="text1"/>
          <w:sz w:val="32"/>
          <w:szCs w:val="32"/>
          <w14:textFill>
            <w14:solidFill>
              <w14:schemeClr w14:val="tx1"/>
            </w14:solidFill>
          </w14:textFill>
        </w:rPr>
        <w:t>亿元，全县国有资本经营预算调出资金为</w:t>
      </w:r>
      <w:r>
        <w:rPr>
          <w:rFonts w:eastAsia="仿宋_GB2312"/>
          <w:snapToGrid w:val="0"/>
          <w:color w:val="000000" w:themeColor="text1"/>
          <w:sz w:val="32"/>
          <w:szCs w:val="32"/>
          <w14:textFill>
            <w14:solidFill>
              <w14:schemeClr w14:val="tx1"/>
            </w14:solidFill>
          </w14:textFill>
        </w:rPr>
        <w:t>4.28</w:t>
      </w:r>
      <w:r>
        <w:rPr>
          <w:rFonts w:eastAsia="仿宋_GB2312"/>
          <w:color w:val="000000" w:themeColor="text1"/>
          <w:sz w:val="32"/>
          <w:szCs w:val="32"/>
          <w14:textFill>
            <w14:solidFill>
              <w14:schemeClr w14:val="tx1"/>
            </w14:solidFill>
          </w14:textFill>
        </w:rPr>
        <w:t>亿元，收支平衡。</w:t>
      </w:r>
    </w:p>
    <w:p>
      <w:pPr>
        <w:adjustRightInd w:val="0"/>
        <w:snapToGrid w:val="0"/>
        <w:spacing w:line="560" w:lineRule="exact"/>
        <w:ind w:firstLine="640" w:firstLineChars="200"/>
        <w:rPr>
          <w:rFonts w:eastAsia="楷体_GB2312"/>
          <w:snapToGrid w:val="0"/>
          <w:color w:val="000000" w:themeColor="text1"/>
          <w:sz w:val="32"/>
          <w:szCs w:val="32"/>
          <w14:textFill>
            <w14:solidFill>
              <w14:schemeClr w14:val="tx1"/>
            </w14:solidFill>
          </w14:textFill>
        </w:rPr>
      </w:pPr>
      <w:r>
        <w:rPr>
          <w:rFonts w:eastAsia="楷体_GB2312"/>
          <w:snapToGrid w:val="0"/>
          <w:color w:val="000000" w:themeColor="text1"/>
          <w:sz w:val="32"/>
          <w:szCs w:val="32"/>
          <w14:textFill>
            <w14:solidFill>
              <w14:schemeClr w14:val="tx1"/>
            </w14:solidFill>
          </w14:textFill>
        </w:rPr>
        <w:t>（四）社会保险基金预算收支安排情况</w:t>
      </w:r>
    </w:p>
    <w:p>
      <w:pPr>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全县社保基金预算收入目标为</w:t>
      </w:r>
      <w:r>
        <w:rPr>
          <w:rFonts w:eastAsia="仿宋_GB2312"/>
          <w:snapToGrid w:val="0"/>
          <w:color w:val="000000" w:themeColor="text1"/>
          <w:sz w:val="32"/>
          <w:szCs w:val="32"/>
          <w14:textFill>
            <w14:solidFill>
              <w14:schemeClr w14:val="tx1"/>
            </w14:solidFill>
          </w14:textFill>
        </w:rPr>
        <w:t>7.59</w:t>
      </w:r>
      <w:r>
        <w:rPr>
          <w:rFonts w:eastAsia="仿宋_GB2312"/>
          <w:color w:val="000000" w:themeColor="text1"/>
          <w:sz w:val="32"/>
          <w:szCs w:val="32"/>
          <w14:textFill>
            <w14:solidFill>
              <w14:schemeClr w14:val="tx1"/>
            </w14:solidFill>
          </w14:textFill>
        </w:rPr>
        <w:t>亿元，其中：城乡居民基本养老保险基金</w:t>
      </w:r>
      <w:r>
        <w:rPr>
          <w:rFonts w:eastAsia="仿宋_GB2312"/>
          <w:snapToGrid w:val="0"/>
          <w:color w:val="000000" w:themeColor="text1"/>
          <w:sz w:val="32"/>
          <w:szCs w:val="32"/>
          <w14:textFill>
            <w14:solidFill>
              <w14:schemeClr w14:val="tx1"/>
            </w14:solidFill>
          </w14:textFill>
        </w:rPr>
        <w:t>2.94</w:t>
      </w:r>
      <w:r>
        <w:rPr>
          <w:rFonts w:eastAsia="仿宋_GB2312"/>
          <w:color w:val="000000" w:themeColor="text1"/>
          <w:sz w:val="32"/>
          <w:szCs w:val="32"/>
          <w14:textFill>
            <w14:solidFill>
              <w14:schemeClr w14:val="tx1"/>
            </w14:solidFill>
          </w14:textFill>
        </w:rPr>
        <w:t>亿元，机关事业单位基本养老保险基金</w:t>
      </w:r>
      <w:r>
        <w:rPr>
          <w:rFonts w:eastAsia="仿宋_GB2312"/>
          <w:snapToGrid w:val="0"/>
          <w:color w:val="000000" w:themeColor="text1"/>
          <w:sz w:val="32"/>
          <w:szCs w:val="32"/>
          <w14:textFill>
            <w14:solidFill>
              <w14:schemeClr w14:val="tx1"/>
            </w14:solidFill>
          </w14:textFill>
        </w:rPr>
        <w:t>4.11</w:t>
      </w:r>
      <w:r>
        <w:rPr>
          <w:rFonts w:eastAsia="仿宋_GB2312"/>
          <w:color w:val="000000" w:themeColor="text1"/>
          <w:sz w:val="32"/>
          <w:szCs w:val="32"/>
          <w14:textFill>
            <w14:solidFill>
              <w14:schemeClr w14:val="tx1"/>
            </w14:solidFill>
          </w14:textFill>
        </w:rPr>
        <w:t>亿元，工伤保险基金</w:t>
      </w:r>
      <w:r>
        <w:rPr>
          <w:rFonts w:eastAsia="仿宋_GB2312"/>
          <w:snapToGrid w:val="0"/>
          <w:color w:val="000000" w:themeColor="text1"/>
          <w:sz w:val="32"/>
          <w:szCs w:val="32"/>
          <w14:textFill>
            <w14:solidFill>
              <w14:schemeClr w14:val="tx1"/>
            </w14:solidFill>
          </w14:textFill>
        </w:rPr>
        <w:t>0.26</w:t>
      </w:r>
      <w:r>
        <w:rPr>
          <w:rFonts w:eastAsia="仿宋_GB2312"/>
          <w:color w:val="000000" w:themeColor="text1"/>
          <w:sz w:val="32"/>
          <w:szCs w:val="32"/>
          <w14:textFill>
            <w14:solidFill>
              <w14:schemeClr w14:val="tx1"/>
            </w14:solidFill>
          </w14:textFill>
        </w:rPr>
        <w:t>亿元，失业保险基金</w:t>
      </w:r>
      <w:r>
        <w:rPr>
          <w:rFonts w:eastAsia="仿宋_GB2312"/>
          <w:snapToGrid w:val="0"/>
          <w:color w:val="000000" w:themeColor="text1"/>
          <w:sz w:val="32"/>
          <w:szCs w:val="32"/>
          <w14:textFill>
            <w14:solidFill>
              <w14:schemeClr w14:val="tx1"/>
            </w14:solidFill>
          </w14:textFill>
        </w:rPr>
        <w:t>0.28</w:t>
      </w:r>
      <w:r>
        <w:rPr>
          <w:rFonts w:eastAsia="仿宋_GB2312"/>
          <w:color w:val="000000" w:themeColor="text1"/>
          <w:sz w:val="32"/>
          <w:szCs w:val="32"/>
          <w14:textFill>
            <w14:solidFill>
              <w14:schemeClr w14:val="tx1"/>
            </w14:solidFill>
          </w14:textFill>
        </w:rPr>
        <w:t>亿元。</w:t>
      </w:r>
    </w:p>
    <w:p>
      <w:pPr>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全县社保基金预算支出为</w:t>
      </w:r>
      <w:r>
        <w:rPr>
          <w:rFonts w:eastAsia="仿宋_GB2312"/>
          <w:snapToGrid w:val="0"/>
          <w:color w:val="000000" w:themeColor="text1"/>
          <w:sz w:val="32"/>
          <w:szCs w:val="32"/>
          <w14:textFill>
            <w14:solidFill>
              <w14:schemeClr w14:val="tx1"/>
            </w14:solidFill>
          </w14:textFill>
        </w:rPr>
        <w:t>6.82</w:t>
      </w:r>
      <w:r>
        <w:rPr>
          <w:rFonts w:eastAsia="仿宋_GB2312"/>
          <w:color w:val="000000" w:themeColor="text1"/>
          <w:sz w:val="32"/>
          <w:szCs w:val="32"/>
          <w14:textFill>
            <w14:solidFill>
              <w14:schemeClr w14:val="tx1"/>
            </w14:solidFill>
          </w14:textFill>
        </w:rPr>
        <w:t>亿元，其中：城乡居民基本养老保险基金</w:t>
      </w:r>
      <w:r>
        <w:rPr>
          <w:rFonts w:eastAsia="仿宋_GB2312"/>
          <w:snapToGrid w:val="0"/>
          <w:color w:val="000000" w:themeColor="text1"/>
          <w:sz w:val="32"/>
          <w:szCs w:val="32"/>
          <w14:textFill>
            <w14:solidFill>
              <w14:schemeClr w14:val="tx1"/>
            </w14:solidFill>
          </w14:textFill>
        </w:rPr>
        <w:t>2.30</w:t>
      </w:r>
      <w:r>
        <w:rPr>
          <w:rFonts w:eastAsia="仿宋_GB2312"/>
          <w:color w:val="000000" w:themeColor="text1"/>
          <w:sz w:val="32"/>
          <w:szCs w:val="32"/>
          <w14:textFill>
            <w14:solidFill>
              <w14:schemeClr w14:val="tx1"/>
            </w14:solidFill>
          </w14:textFill>
        </w:rPr>
        <w:t>亿元，机关事业单位基本养老保险基金</w:t>
      </w:r>
      <w:r>
        <w:rPr>
          <w:rFonts w:eastAsia="仿宋_GB2312"/>
          <w:snapToGrid w:val="0"/>
          <w:color w:val="000000" w:themeColor="text1"/>
          <w:sz w:val="32"/>
          <w:szCs w:val="32"/>
          <w14:textFill>
            <w14:solidFill>
              <w14:schemeClr w14:val="tx1"/>
            </w14:solidFill>
          </w14:textFill>
        </w:rPr>
        <w:t>4.09</w:t>
      </w:r>
      <w:r>
        <w:rPr>
          <w:rFonts w:eastAsia="仿宋_GB2312"/>
          <w:color w:val="000000" w:themeColor="text1"/>
          <w:sz w:val="32"/>
          <w:szCs w:val="32"/>
          <w14:textFill>
            <w14:solidFill>
              <w14:schemeClr w14:val="tx1"/>
            </w14:solidFill>
          </w14:textFill>
        </w:rPr>
        <w:t>亿元，工伤保险基金</w:t>
      </w:r>
      <w:r>
        <w:rPr>
          <w:rFonts w:eastAsia="仿宋_GB2312"/>
          <w:snapToGrid w:val="0"/>
          <w:color w:val="000000" w:themeColor="text1"/>
          <w:sz w:val="32"/>
          <w:szCs w:val="32"/>
          <w14:textFill>
            <w14:solidFill>
              <w14:schemeClr w14:val="tx1"/>
            </w14:solidFill>
          </w14:textFill>
        </w:rPr>
        <w:t>0.24</w:t>
      </w:r>
      <w:r>
        <w:rPr>
          <w:rFonts w:eastAsia="仿宋_GB2312"/>
          <w:color w:val="000000" w:themeColor="text1"/>
          <w:sz w:val="32"/>
          <w:szCs w:val="32"/>
          <w14:textFill>
            <w14:solidFill>
              <w14:schemeClr w14:val="tx1"/>
            </w14:solidFill>
          </w14:textFill>
        </w:rPr>
        <w:t>亿元，失业保险基金</w:t>
      </w:r>
      <w:r>
        <w:rPr>
          <w:rFonts w:eastAsia="仿宋_GB2312"/>
          <w:snapToGrid w:val="0"/>
          <w:color w:val="000000" w:themeColor="text1"/>
          <w:sz w:val="32"/>
          <w:szCs w:val="32"/>
          <w14:textFill>
            <w14:solidFill>
              <w14:schemeClr w14:val="tx1"/>
            </w14:solidFill>
          </w14:textFill>
        </w:rPr>
        <w:t>0.19</w:t>
      </w:r>
      <w:r>
        <w:rPr>
          <w:rFonts w:eastAsia="仿宋_GB2312"/>
          <w:color w:val="000000" w:themeColor="text1"/>
          <w:sz w:val="32"/>
          <w:szCs w:val="32"/>
          <w14:textFill>
            <w14:solidFill>
              <w14:schemeClr w14:val="tx1"/>
            </w14:solidFill>
          </w14:textFill>
        </w:rPr>
        <w:t>亿元。</w:t>
      </w:r>
    </w:p>
    <w:p>
      <w:pPr>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县级社保基金预算收入总计为</w:t>
      </w:r>
      <w:r>
        <w:rPr>
          <w:rFonts w:eastAsia="仿宋_GB2312"/>
          <w:snapToGrid w:val="0"/>
          <w:color w:val="000000" w:themeColor="text1"/>
          <w:sz w:val="32"/>
          <w:szCs w:val="32"/>
          <w14:textFill>
            <w14:solidFill>
              <w14:schemeClr w14:val="tx1"/>
            </w14:solidFill>
          </w14:textFill>
        </w:rPr>
        <w:t>7.59</w:t>
      </w:r>
      <w:r>
        <w:rPr>
          <w:rFonts w:eastAsia="仿宋_GB2312"/>
          <w:color w:val="000000" w:themeColor="text1"/>
          <w:sz w:val="32"/>
          <w:szCs w:val="32"/>
          <w14:textFill>
            <w14:solidFill>
              <w14:schemeClr w14:val="tx1"/>
            </w14:solidFill>
          </w14:textFill>
        </w:rPr>
        <w:t>亿元，县级社保基金预算支出总计为</w:t>
      </w:r>
      <w:r>
        <w:rPr>
          <w:rFonts w:eastAsia="仿宋_GB2312"/>
          <w:snapToGrid w:val="0"/>
          <w:color w:val="000000" w:themeColor="text1"/>
          <w:sz w:val="32"/>
          <w:szCs w:val="32"/>
          <w14:textFill>
            <w14:solidFill>
              <w14:schemeClr w14:val="tx1"/>
            </w14:solidFill>
          </w14:textFill>
        </w:rPr>
        <w:t>6.82</w:t>
      </w:r>
      <w:r>
        <w:rPr>
          <w:rFonts w:eastAsia="仿宋_GB2312"/>
          <w:color w:val="000000" w:themeColor="text1"/>
          <w:sz w:val="32"/>
          <w:szCs w:val="32"/>
          <w14:textFill>
            <w14:solidFill>
              <w14:schemeClr w14:val="tx1"/>
            </w14:solidFill>
          </w14:textFill>
        </w:rPr>
        <w:t>亿元，</w:t>
      </w:r>
      <w:r>
        <w:rPr>
          <w:rFonts w:hint="eastAsia" w:eastAsia="仿宋_GB2312"/>
          <w:color w:val="000000" w:themeColor="text1"/>
          <w:sz w:val="32"/>
          <w:szCs w:val="32"/>
          <w14:textFill>
            <w14:solidFill>
              <w14:schemeClr w14:val="tx1"/>
            </w14:solidFill>
          </w14:textFill>
        </w:rPr>
        <w:t>上解上级支出0</w:t>
      </w:r>
      <w:r>
        <w:rPr>
          <w:rFonts w:eastAsia="仿宋_GB2312"/>
          <w:color w:val="000000" w:themeColor="text1"/>
          <w:sz w:val="32"/>
          <w:szCs w:val="32"/>
          <w14:textFill>
            <w14:solidFill>
              <w14:schemeClr w14:val="tx1"/>
            </w14:solidFill>
          </w14:textFill>
        </w:rPr>
        <w:t>.01</w:t>
      </w:r>
      <w:r>
        <w:rPr>
          <w:rFonts w:hint="eastAsia" w:eastAsia="仿宋_GB2312"/>
          <w:color w:val="000000" w:themeColor="text1"/>
          <w:sz w:val="32"/>
          <w:szCs w:val="32"/>
          <w14:textFill>
            <w14:solidFill>
              <w14:schemeClr w14:val="tx1"/>
            </w14:solidFill>
          </w14:textFill>
        </w:rPr>
        <w:t>亿元，社保基金转移支出0</w:t>
      </w:r>
      <w:r>
        <w:rPr>
          <w:rFonts w:eastAsia="仿宋_GB2312"/>
          <w:color w:val="000000" w:themeColor="text1"/>
          <w:sz w:val="32"/>
          <w:szCs w:val="32"/>
          <w14:textFill>
            <w14:solidFill>
              <w14:schemeClr w14:val="tx1"/>
            </w14:solidFill>
          </w14:textFill>
        </w:rPr>
        <w:t>.02</w:t>
      </w:r>
      <w:r>
        <w:rPr>
          <w:rFonts w:hint="eastAsia" w:eastAsia="仿宋_GB2312"/>
          <w:color w:val="000000" w:themeColor="text1"/>
          <w:sz w:val="32"/>
          <w:szCs w:val="32"/>
          <w14:textFill>
            <w14:solidFill>
              <w14:schemeClr w14:val="tx1"/>
            </w14:solidFill>
          </w14:textFill>
        </w:rPr>
        <w:t>亿元，</w:t>
      </w:r>
      <w:r>
        <w:rPr>
          <w:rFonts w:eastAsia="仿宋_GB2312"/>
          <w:color w:val="000000" w:themeColor="text1"/>
          <w:sz w:val="32"/>
          <w:szCs w:val="32"/>
          <w14:textFill>
            <w14:solidFill>
              <w14:schemeClr w14:val="tx1"/>
            </w14:solidFill>
          </w14:textFill>
        </w:rPr>
        <w:t>当年收支结余0.74亿元，年末滚存结余</w:t>
      </w:r>
      <w:r>
        <w:rPr>
          <w:rFonts w:eastAsia="仿宋_GB2312"/>
          <w:snapToGrid w:val="0"/>
          <w:color w:val="000000" w:themeColor="text1"/>
          <w:sz w:val="32"/>
          <w:szCs w:val="32"/>
          <w14:textFill>
            <w14:solidFill>
              <w14:schemeClr w14:val="tx1"/>
            </w14:solidFill>
          </w14:textFill>
        </w:rPr>
        <w:t>8.02</w:t>
      </w:r>
      <w:r>
        <w:rPr>
          <w:rFonts w:eastAsia="仿宋_GB2312"/>
          <w:color w:val="000000" w:themeColor="text1"/>
          <w:sz w:val="32"/>
          <w:szCs w:val="32"/>
          <w14:textFill>
            <w14:solidFill>
              <w14:schemeClr w14:val="tx1"/>
            </w14:solidFill>
          </w14:textFill>
        </w:rPr>
        <w:t>亿元。</w:t>
      </w:r>
    </w:p>
    <w:p>
      <w:pPr>
        <w:adjustRightInd w:val="0"/>
        <w:snapToGrid w:val="0"/>
        <w:spacing w:line="560" w:lineRule="exact"/>
        <w:ind w:firstLine="640" w:firstLineChars="200"/>
        <w:rPr>
          <w:rFonts w:eastAsia="黑体"/>
          <w:snapToGrid w:val="0"/>
          <w:color w:val="000000" w:themeColor="text1"/>
          <w:sz w:val="32"/>
          <w:szCs w:val="32"/>
          <w14:textFill>
            <w14:solidFill>
              <w14:schemeClr w14:val="tx1"/>
            </w14:solidFill>
          </w14:textFill>
        </w:rPr>
      </w:pPr>
      <w:r>
        <w:rPr>
          <w:rFonts w:eastAsia="黑体"/>
          <w:snapToGrid w:val="0"/>
          <w:color w:val="000000" w:themeColor="text1"/>
          <w:sz w:val="32"/>
          <w:szCs w:val="32"/>
          <w14:textFill>
            <w14:solidFill>
              <w14:schemeClr w14:val="tx1"/>
            </w14:solidFill>
          </w14:textFill>
        </w:rPr>
        <w:t>四、2023年财政工作措施</w:t>
      </w:r>
    </w:p>
    <w:p>
      <w:pPr>
        <w:spacing w:line="560" w:lineRule="exact"/>
        <w:ind w:firstLine="640" w:firstLineChars="200"/>
        <w:rPr>
          <w:rFonts w:hint="eastAsia" w:eastAsia="仿宋_GB2312"/>
          <w:color w:val="000000" w:themeColor="text1"/>
          <w:sz w:val="32"/>
          <w:szCs w:val="32"/>
          <w:lang w:val="en-US" w:eastAsia="zh-CN"/>
          <w14:textFill>
            <w14:solidFill>
              <w14:schemeClr w14:val="tx1"/>
            </w14:solidFill>
          </w14:textFill>
        </w:rPr>
      </w:pPr>
      <w:r>
        <w:rPr>
          <w:rFonts w:eastAsia="仿宋_GB2312"/>
          <w:color w:val="000000" w:themeColor="text1"/>
          <w:sz w:val="32"/>
          <w:szCs w:val="32"/>
          <w14:textFill>
            <w14:solidFill>
              <w14:schemeClr w14:val="tx1"/>
            </w14:solidFill>
          </w14:textFill>
        </w:rPr>
        <w:t>2023年，金湖财政工作的总体思路是高举习近平新时代中国特色社会主义思想伟大旗帜，深入贯彻党的二十大</w:t>
      </w:r>
      <w:r>
        <w:rPr>
          <w:rFonts w:hint="eastAsia" w:eastAsia="仿宋_GB2312"/>
          <w:color w:val="000000" w:themeColor="text1"/>
          <w:sz w:val="32"/>
          <w:szCs w:val="32"/>
          <w:lang w:val="en-US" w:eastAsia="zh-CN"/>
          <w14:textFill>
            <w14:solidFill>
              <w14:schemeClr w14:val="tx1"/>
            </w14:solidFill>
          </w14:textFill>
        </w:rPr>
        <w:t>和中央、省委经济工作会议</w:t>
      </w:r>
      <w:r>
        <w:rPr>
          <w:rFonts w:eastAsia="仿宋_GB2312"/>
          <w:color w:val="000000" w:themeColor="text1"/>
          <w:sz w:val="32"/>
          <w:szCs w:val="32"/>
          <w14:textFill>
            <w14:solidFill>
              <w14:schemeClr w14:val="tx1"/>
            </w14:solidFill>
          </w14:textFill>
        </w:rPr>
        <w:t>精神，</w:t>
      </w:r>
      <w:r>
        <w:rPr>
          <w:rFonts w:hint="eastAsia" w:eastAsia="仿宋_GB2312"/>
          <w:color w:val="000000" w:themeColor="text1"/>
          <w:sz w:val="32"/>
          <w:szCs w:val="32"/>
          <w:lang w:val="en-US" w:eastAsia="zh-CN"/>
          <w14:textFill>
            <w14:solidFill>
              <w14:schemeClr w14:val="tx1"/>
            </w14:solidFill>
          </w14:textFill>
        </w:rPr>
        <w:t>坚决落实中央、省、市和县委决策部署，</w:t>
      </w:r>
      <w:r>
        <w:rPr>
          <w:rFonts w:eastAsia="仿宋_GB2312"/>
          <w:color w:val="000000" w:themeColor="text1"/>
          <w:sz w:val="32"/>
          <w:szCs w:val="32"/>
          <w14:textFill>
            <w14:solidFill>
              <w14:schemeClr w14:val="tx1"/>
            </w14:solidFill>
          </w14:textFill>
        </w:rPr>
        <w:t>坚持稳中求进工作总基调，</w:t>
      </w:r>
      <w:r>
        <w:rPr>
          <w:rFonts w:hint="eastAsia" w:eastAsia="仿宋_GB2312"/>
          <w:color w:val="000000" w:themeColor="text1"/>
          <w:sz w:val="32"/>
          <w:szCs w:val="32"/>
          <w:lang w:val="en-US" w:eastAsia="zh-CN"/>
          <w14:textFill>
            <w14:solidFill>
              <w14:schemeClr w14:val="tx1"/>
            </w14:solidFill>
          </w14:textFill>
        </w:rPr>
        <w:t>统筹做好各项财政工作，努力完成全年目标任务，着力推动高质量发展。</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楷体_GB2312"/>
          <w:bCs/>
          <w:color w:val="000000" w:themeColor="text1"/>
          <w:sz w:val="32"/>
          <w:szCs w:val="32"/>
          <w14:textFill>
            <w14:solidFill>
              <w14:schemeClr w14:val="tx1"/>
            </w14:solidFill>
          </w14:textFill>
        </w:rPr>
        <w:t>（一）加大统筹协调，做好全年组织收入</w:t>
      </w:r>
      <w:r>
        <w:rPr>
          <w:rFonts w:hint="eastAsia" w:eastAsia="楷体_GB2312"/>
          <w:bCs/>
          <w:color w:val="000000" w:themeColor="text1"/>
          <w:sz w:val="32"/>
          <w:szCs w:val="32"/>
          <w14:textFill>
            <w14:solidFill>
              <w14:schemeClr w14:val="tx1"/>
            </w14:solidFill>
          </w14:textFill>
        </w:rPr>
        <w:t>工作</w:t>
      </w:r>
      <w:r>
        <w:rPr>
          <w:rFonts w:eastAsia="楷体_GB2312"/>
          <w:bCs/>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将继续扎实做好财税工作，提前谋划，进一步明确财政收入工作思路。加大收入形势分析，密切跟踪收入组织进展情况，采取多项措施促进提质增收；加大规上企业服务力度，关注重点企业生产经营状况，培植优质税源；加强与开发区、各镇街、税务的工作沟通协调，落实好各项退税减税降费政策，强化协税护税力度，形成工作合力</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加强非税收入征管，推进财政电子票据改革进程，坚持票款同行，确保应收尽收</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 xml:space="preserve"> </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楷体_GB2312"/>
          <w:bCs/>
          <w:color w:val="000000" w:themeColor="text1"/>
          <w:sz w:val="32"/>
          <w:szCs w:val="32"/>
          <w14:textFill>
            <w14:solidFill>
              <w14:schemeClr w14:val="tx1"/>
            </w14:solidFill>
          </w14:textFill>
        </w:rPr>
        <w:t>（二）加强预算管理，硬化预算约束。</w:t>
      </w:r>
      <w:r>
        <w:rPr>
          <w:rFonts w:eastAsia="仿宋_GB2312"/>
          <w:color w:val="000000" w:themeColor="text1"/>
          <w:sz w:val="32"/>
          <w:szCs w:val="32"/>
          <w14:textFill>
            <w14:solidFill>
              <w14:schemeClr w14:val="tx1"/>
            </w14:solidFill>
          </w14:textFill>
        </w:rPr>
        <w:t>严格按照《预算法》及其实施条例等法律法规要求编制预算，在财政紧平衡的前提下，坚持政府过“紧日子”，严控“三公”经费和一般性支出，压减非必需项目支出，不断优化支出结构，兜牢兜实“三保”底线，把更多财力用在发展紧要处、民生急需上；硬化预算刚性约束，严格执行人大预算批复，坚持“有预算不超支，无预算不开支”，坚持尽力而为、量力而行，做到精打细算、勤俭办事。强化预算执行监控，严控年底突击花钱，切实提高预算资金使用效益，不断增强财政应对复杂经济社会形势的能力。</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楷体_GB2312"/>
          <w:bCs/>
          <w:color w:val="000000" w:themeColor="text1"/>
          <w:sz w:val="32"/>
          <w:szCs w:val="32"/>
          <w14:textFill>
            <w14:solidFill>
              <w14:schemeClr w14:val="tx1"/>
            </w14:solidFill>
          </w14:textFill>
        </w:rPr>
        <w:t>（三）强化债务管理，防范化解重大风险。</w:t>
      </w:r>
      <w:r>
        <w:rPr>
          <w:rFonts w:eastAsia="仿宋_GB2312"/>
          <w:b/>
          <w:bCs/>
          <w:color w:val="000000" w:themeColor="text1"/>
          <w:sz w:val="32"/>
          <w:szCs w:val="32"/>
          <w14:textFill>
            <w14:solidFill>
              <w14:schemeClr w14:val="tx1"/>
            </w14:solidFill>
          </w14:textFill>
        </w:rPr>
        <w:t>一是</w:t>
      </w:r>
      <w:r>
        <w:rPr>
          <w:rFonts w:eastAsia="仿宋_GB2312"/>
          <w:b/>
          <w:bCs/>
          <w:color w:val="000000" w:themeColor="text1"/>
          <w:kern w:val="0"/>
          <w:sz w:val="32"/>
          <w:szCs w:val="32"/>
          <w14:textFill>
            <w14:solidFill>
              <w14:schemeClr w14:val="tx1"/>
            </w14:solidFill>
          </w14:textFill>
        </w:rPr>
        <w:t>确保完成全年隐债化解目标。</w:t>
      </w:r>
      <w:r>
        <w:rPr>
          <w:rFonts w:eastAsia="仿宋_GB2312"/>
          <w:color w:val="000000" w:themeColor="text1"/>
          <w:kern w:val="0"/>
          <w:sz w:val="32"/>
          <w:szCs w:val="32"/>
          <w14:textFill>
            <w14:solidFill>
              <w14:schemeClr w14:val="tx1"/>
            </w14:solidFill>
          </w14:textFill>
        </w:rPr>
        <w:t>严格执行省财政厅批复的《金湖县政府隐性债务化解实施方案》，积极稳妥推进政府隐性债务化解工作。强化红线意识和底线思维，规范各项融资举债行为，加强对融资平台、政府购买服务等融资行为的监管，坚决杜绝违法违规融资举债，确保隐性债务只减不增。</w:t>
      </w:r>
      <w:r>
        <w:rPr>
          <w:rFonts w:eastAsia="仿宋_GB2312"/>
          <w:b/>
          <w:bCs/>
          <w:color w:val="000000" w:themeColor="text1"/>
          <w:sz w:val="32"/>
          <w:szCs w:val="32"/>
          <w14:textFill>
            <w14:solidFill>
              <w14:schemeClr w14:val="tx1"/>
            </w14:solidFill>
          </w14:textFill>
        </w:rPr>
        <w:t>二是加快债券资金使用进度。</w:t>
      </w:r>
      <w:r>
        <w:rPr>
          <w:rFonts w:eastAsia="仿宋_GB2312"/>
          <w:color w:val="000000" w:themeColor="text1"/>
          <w:kern w:val="0"/>
          <w:sz w:val="32"/>
          <w:szCs w:val="32"/>
          <w14:textFill>
            <w14:solidFill>
              <w14:schemeClr w14:val="tx1"/>
            </w14:solidFill>
          </w14:textFill>
        </w:rPr>
        <w:t>明确债券申报部门的主体责任，做好事前调研和评估工作，坚持有计划、节约的原则合理申报政府投资项目；严格按债券申报要求加快项目实施，将债券项目纳入县项目推进办进行督查考核。同时，将项目推进、资金使用安排到节点、细化到月份，力争尽早达到付款条件，尽早消化债券资金结存，尽早形成实物工作量，提升债券资金质效。</w:t>
      </w:r>
      <w:r>
        <w:rPr>
          <w:rFonts w:eastAsia="仿宋_GB2312"/>
          <w:b/>
          <w:bCs/>
          <w:color w:val="000000" w:themeColor="text1"/>
          <w:sz w:val="32"/>
          <w:szCs w:val="32"/>
          <w14:textFill>
            <w14:solidFill>
              <w14:schemeClr w14:val="tx1"/>
            </w14:solidFill>
          </w14:textFill>
        </w:rPr>
        <w:t>三是依托债务系统动态监管。</w:t>
      </w:r>
      <w:r>
        <w:rPr>
          <w:rFonts w:eastAsia="仿宋_GB2312"/>
          <w:color w:val="000000" w:themeColor="text1"/>
          <w:sz w:val="32"/>
          <w:szCs w:val="32"/>
          <w14:textFill>
            <w14:solidFill>
              <w14:schemeClr w14:val="tx1"/>
            </w14:solidFill>
          </w14:textFill>
        </w:rPr>
        <w:t>充分发挥债务监管系统作用，对政府性债务、融资平台公司债务等进行全生命周期动态跟踪监管，定期组织开展无债务申报、零变动上报、单位债务数据填报等工作。准确统计债务数据变化，认真研究政府债务率等各项债务指标运行情况，及时排查风险点，严格控制债务指标水平。</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楷体_GB2312"/>
          <w:bCs/>
          <w:color w:val="000000" w:themeColor="text1"/>
          <w:sz w:val="32"/>
          <w:szCs w:val="32"/>
          <w14:textFill>
            <w14:solidFill>
              <w14:schemeClr w14:val="tx1"/>
            </w14:solidFill>
          </w14:textFill>
        </w:rPr>
        <w:t>（四）坚持深化改革，科学规划理财。</w:t>
      </w:r>
      <w:r>
        <w:rPr>
          <w:rFonts w:eastAsia="仿宋_GB2312"/>
          <w:b/>
          <w:color w:val="000000" w:themeColor="text1"/>
          <w:sz w:val="32"/>
          <w:szCs w:val="32"/>
          <w14:textFill>
            <w14:solidFill>
              <w14:schemeClr w14:val="tx1"/>
            </w14:solidFill>
          </w14:textFill>
        </w:rPr>
        <w:t>一是推进乡镇财政一体化进程。</w:t>
      </w:r>
      <w:r>
        <w:rPr>
          <w:rFonts w:eastAsia="仿宋_GB2312"/>
          <w:bCs/>
          <w:color w:val="000000" w:themeColor="text1"/>
          <w:sz w:val="32"/>
          <w:szCs w:val="32"/>
          <w14:textFill>
            <w14:solidFill>
              <w14:schemeClr w14:val="tx1"/>
            </w14:solidFill>
          </w14:textFill>
        </w:rPr>
        <w:t>围绕乡镇财政一体化系统推广布置工作要求，</w:t>
      </w:r>
      <w:r>
        <w:rPr>
          <w:rFonts w:eastAsia="仿宋_GB2312"/>
          <w:bCs/>
          <w:color w:val="000000" w:themeColor="text1"/>
          <w:kern w:val="0"/>
          <w:sz w:val="32"/>
          <w:szCs w:val="32"/>
          <w14:textFill>
            <w14:solidFill>
              <w14:schemeClr w14:val="tx1"/>
            </w14:solidFill>
          </w14:textFill>
        </w:rPr>
        <w:t>积极推进乡镇财政一体化进程，2023年起将乡镇财政预算编制及执行全部纳入预算一体化系统，实现全省预算管理一体化和财政数据大集中的最后一块“拼图”</w:t>
      </w:r>
      <w:r>
        <w:rPr>
          <w:rFonts w:hint="eastAsia" w:eastAsia="仿宋_GB2312"/>
          <w:bCs/>
          <w:color w:val="000000" w:themeColor="text1"/>
          <w:kern w:val="0"/>
          <w:sz w:val="32"/>
          <w:szCs w:val="32"/>
          <w14:textFill>
            <w14:solidFill>
              <w14:schemeClr w14:val="tx1"/>
            </w14:solidFill>
          </w14:textFill>
        </w:rPr>
        <w:t>成功上线运行</w:t>
      </w:r>
      <w:r>
        <w:rPr>
          <w:rFonts w:eastAsia="仿宋_GB2312"/>
          <w:bCs/>
          <w:color w:val="000000" w:themeColor="text1"/>
          <w:kern w:val="0"/>
          <w:sz w:val="32"/>
          <w:szCs w:val="32"/>
          <w14:textFill>
            <w14:solidFill>
              <w14:schemeClr w14:val="tx1"/>
            </w14:solidFill>
          </w14:textFill>
        </w:rPr>
        <w:t>。</w:t>
      </w:r>
      <w:r>
        <w:rPr>
          <w:rFonts w:eastAsia="仿宋_GB2312"/>
          <w:b/>
          <w:bCs/>
          <w:color w:val="000000" w:themeColor="text1"/>
          <w:sz w:val="32"/>
          <w:szCs w:val="32"/>
          <w14:textFill>
            <w14:solidFill>
              <w14:schemeClr w14:val="tx1"/>
            </w14:solidFill>
          </w14:textFill>
        </w:rPr>
        <w:t>二是强化预算资金绩效管理。</w:t>
      </w:r>
      <w:r>
        <w:rPr>
          <w:rFonts w:eastAsia="仿宋_GB2312"/>
          <w:color w:val="000000" w:themeColor="text1"/>
          <w:sz w:val="32"/>
          <w:szCs w:val="32"/>
          <w14:textFill>
            <w14:solidFill>
              <w14:schemeClr w14:val="tx1"/>
            </w14:solidFill>
          </w14:textFill>
        </w:rPr>
        <w:t>对财政安排的30万元以上的专项资金项目，采取项目绩效目标实现程度与预算执行进度“双监控”。对我县省市县重大民生项目开展财政绩效再评价工作，积极推进部门整体支出绩效评价和镇（街）项目支出绩效目标编制、评价工作。三</w:t>
      </w:r>
      <w:r>
        <w:rPr>
          <w:rFonts w:eastAsia="仿宋_GB2312"/>
          <w:b/>
          <w:bCs/>
          <w:color w:val="000000" w:themeColor="text1"/>
          <w:sz w:val="32"/>
          <w:szCs w:val="32"/>
          <w14:textFill>
            <w14:solidFill>
              <w14:schemeClr w14:val="tx1"/>
            </w14:solidFill>
          </w14:textFill>
        </w:rPr>
        <w:t>是加强县管国有企业监管。</w:t>
      </w:r>
      <w:r>
        <w:rPr>
          <w:rFonts w:eastAsia="仿宋_GB2312"/>
          <w:color w:val="000000" w:themeColor="text1"/>
          <w:sz w:val="32"/>
          <w:szCs w:val="32"/>
          <w14:textFill>
            <w14:solidFill>
              <w14:schemeClr w14:val="tx1"/>
            </w14:solidFill>
          </w14:textFill>
        </w:rPr>
        <w:t>重点围绕企业融资到账、综合成本、自营项目盈利情况等开展县管国有企业2022年经营业绩考核；从严管控县管国有企业高成本、非标准化融资，对照《关于严控国有企业高成本融资的规定（试行）》的相关要求，采用“事前核算”的方式，逐笔审核融资成本，做到“能控制”、“不超限”。</w:t>
      </w:r>
    </w:p>
    <w:p>
      <w:pPr>
        <w:spacing w:line="560" w:lineRule="exact"/>
        <w:ind w:firstLine="640" w:firstLineChars="200"/>
        <w:rPr>
          <w:rFonts w:eastAsia="仿宋_GB2312"/>
          <w:color w:val="000000" w:themeColor="text1"/>
          <w:sz w:val="32"/>
          <w:szCs w:val="32"/>
          <w:shd w:val="clear" w:color="auto" w:fill="FFFFFF"/>
          <w14:textFill>
            <w14:solidFill>
              <w14:schemeClr w14:val="tx1"/>
            </w14:solidFill>
          </w14:textFill>
        </w:rPr>
      </w:pPr>
      <w:r>
        <w:rPr>
          <w:rFonts w:eastAsia="仿宋_GB2312"/>
          <w:color w:val="000000" w:themeColor="text1"/>
          <w:sz w:val="32"/>
          <w:szCs w:val="32"/>
          <w:shd w:val="clear" w:color="auto" w:fill="FFFFFF"/>
          <w14:textFill>
            <w14:solidFill>
              <w14:schemeClr w14:val="tx1"/>
            </w14:solidFill>
          </w14:textFill>
        </w:rPr>
        <w:t>各位代表，2023年财政工作面临的困难挑战依然很多，但是我们有信心、有决心，在县委县政府</w:t>
      </w:r>
      <w:bookmarkStart w:id="0" w:name="_GoBack"/>
      <w:bookmarkEnd w:id="0"/>
      <w:r>
        <w:rPr>
          <w:rFonts w:eastAsia="仿宋_GB2312"/>
          <w:color w:val="000000" w:themeColor="text1"/>
          <w:sz w:val="32"/>
          <w:szCs w:val="32"/>
          <w:shd w:val="clear" w:color="auto" w:fill="FFFFFF"/>
          <w14:textFill>
            <w14:solidFill>
              <w14:schemeClr w14:val="tx1"/>
            </w14:solidFill>
          </w14:textFill>
        </w:rPr>
        <w:t>的坚强领导下，在县人大的监督指导下，踔厉奋发、勇毅前行，努力完成全年各项目标任务，为我县经济社会健康持续发展作出新的更大的贡献！</w:t>
      </w:r>
    </w:p>
    <w:p>
      <w:pPr>
        <w:spacing w:line="560" w:lineRule="exact"/>
        <w:ind w:firstLine="640" w:firstLineChars="200"/>
        <w:rPr>
          <w:rFonts w:eastAsia="仿宋_GB2312"/>
          <w:color w:val="000000" w:themeColor="text1"/>
          <w:sz w:val="32"/>
          <w:szCs w:val="32"/>
          <w:shd w:val="clear" w:color="auto" w:fill="FFFFFF"/>
          <w14:textFill>
            <w14:solidFill>
              <w14:schemeClr w14:val="tx1"/>
            </w14:solidFill>
          </w14:textFill>
        </w:rPr>
      </w:pPr>
    </w:p>
    <w:sectPr>
      <w:headerReference r:id="rId3" w:type="default"/>
      <w:footerReference r:id="rId4" w:type="default"/>
      <w:pgSz w:w="11906" w:h="16838"/>
      <w:pgMar w:top="1440" w:right="1800" w:bottom="1440" w:left="1800" w:header="1418" w:footer="1418" w:gutter="0"/>
      <w:pgNumType w:fmt="numberInDash"/>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方正大标宋简体">
    <w:altName w:val="微软雅黑"/>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4035" cy="230505"/>
              <wp:effectExtent l="0" t="0" r="18415" b="17145"/>
              <wp:wrapNone/>
              <wp:docPr id="1" name="文本框 1025"/>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a:effectLst/>
                    </wps:spPr>
                    <wps:txbx>
                      <w:txbxContent>
                        <w:p>
                          <w:pPr>
                            <w:pStyle w:val="7"/>
                            <w:jc w:val="center"/>
                            <w:rPr>
                              <w:rFonts w:cs="宋体"/>
                              <w:sz w:val="28"/>
                              <w:szCs w:val="28"/>
                            </w:rPr>
                          </w:pPr>
                          <w:r>
                            <w:rPr>
                              <w:rFonts w:hint="eastAsia" w:cs="宋体"/>
                              <w:sz w:val="28"/>
                              <w:szCs w:val="28"/>
                            </w:rPr>
                            <w:fldChar w:fldCharType="begin"/>
                          </w:r>
                          <w:r>
                            <w:rPr>
                              <w:rFonts w:hint="eastAsia" w:cs="宋体"/>
                              <w:sz w:val="28"/>
                              <w:szCs w:val="28"/>
                            </w:rPr>
                            <w:instrText xml:space="preserve"> PAGE  \* MERGEFORMAT </w:instrText>
                          </w:r>
                          <w:r>
                            <w:rPr>
                              <w:rFonts w:hint="eastAsia" w:cs="宋体"/>
                              <w:sz w:val="28"/>
                              <w:szCs w:val="28"/>
                            </w:rPr>
                            <w:fldChar w:fldCharType="separate"/>
                          </w:r>
                          <w:r>
                            <w:rPr>
                              <w:rFonts w:cs="宋体"/>
                              <w:sz w:val="28"/>
                              <w:szCs w:val="28"/>
                            </w:rPr>
                            <w:t>- 3 -</w:t>
                          </w:r>
                          <w:r>
                            <w:rPr>
                              <w:rFonts w:hint="eastAsia" w:cs="宋体"/>
                              <w:sz w:val="28"/>
                              <w:szCs w:val="2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8.15pt;width:42.05pt;mso-position-horizontal:center;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w9kx90QAAAAMBAAAPAAAAAAAAAAEAIAAAACIAAABkcnMvZG93&#10;bnJldi54bWxQSwECFAAUAAAACACHTuJAux1H8M4BAACcAwAADgAAAAAAAAABACAAAAAgAQAAZHJz&#10;L2Uyb0RvYy54bWxQSwUGAAAAAAYABgBZAQAAYAUAAAAA&#10;">
              <v:fill on="f" focussize="0,0"/>
              <v:stroke on="f"/>
              <v:imagedata o:title=""/>
              <o:lock v:ext="edit" aspectratio="f"/>
              <v:textbox inset="0mm,0mm,0mm,0mm" style="mso-fit-shape-to-text:t;">
                <w:txbxContent>
                  <w:p>
                    <w:pPr>
                      <w:pStyle w:val="7"/>
                      <w:jc w:val="center"/>
                      <w:rPr>
                        <w:rFonts w:cs="宋体"/>
                        <w:sz w:val="28"/>
                        <w:szCs w:val="28"/>
                      </w:rPr>
                    </w:pPr>
                    <w:r>
                      <w:rPr>
                        <w:rFonts w:hint="eastAsia" w:cs="宋体"/>
                        <w:sz w:val="28"/>
                        <w:szCs w:val="28"/>
                      </w:rPr>
                      <w:fldChar w:fldCharType="begin"/>
                    </w:r>
                    <w:r>
                      <w:rPr>
                        <w:rFonts w:hint="eastAsia" w:cs="宋体"/>
                        <w:sz w:val="28"/>
                        <w:szCs w:val="28"/>
                      </w:rPr>
                      <w:instrText xml:space="preserve"> PAGE  \* MERGEFORMAT </w:instrText>
                    </w:r>
                    <w:r>
                      <w:rPr>
                        <w:rFonts w:hint="eastAsia" w:cs="宋体"/>
                        <w:sz w:val="28"/>
                        <w:szCs w:val="28"/>
                      </w:rPr>
                      <w:fldChar w:fldCharType="separate"/>
                    </w:r>
                    <w:r>
                      <w:rPr>
                        <w:rFonts w:cs="宋体"/>
                        <w:sz w:val="28"/>
                        <w:szCs w:val="28"/>
                      </w:rPr>
                      <w:t>- 3 -</w:t>
                    </w:r>
                    <w:r>
                      <w:rPr>
                        <w:rFonts w:hint="eastAsia"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A43C3"/>
    <w:multiLevelType w:val="singleLevel"/>
    <w:tmpl w:val="5C8A43C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HorizontalSpacing w:val="105"/>
  <w:drawingGridVerticalSpacing w:val="313"/>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Y2E3MDc2MDdjOWFiMDJlODk4NGQ3ODdiNGRiNmQifQ=="/>
  </w:docVars>
  <w:rsids>
    <w:rsidRoot w:val="00D044ED"/>
    <w:rsid w:val="0000367B"/>
    <w:rsid w:val="000045F3"/>
    <w:rsid w:val="0000462C"/>
    <w:rsid w:val="00004C3D"/>
    <w:rsid w:val="00005379"/>
    <w:rsid w:val="00005458"/>
    <w:rsid w:val="00007DA5"/>
    <w:rsid w:val="00011785"/>
    <w:rsid w:val="00011F37"/>
    <w:rsid w:val="00015921"/>
    <w:rsid w:val="0001635C"/>
    <w:rsid w:val="0001753C"/>
    <w:rsid w:val="00020946"/>
    <w:rsid w:val="000211DF"/>
    <w:rsid w:val="00022F36"/>
    <w:rsid w:val="00023029"/>
    <w:rsid w:val="00025FB9"/>
    <w:rsid w:val="00026D6E"/>
    <w:rsid w:val="00030586"/>
    <w:rsid w:val="0003086E"/>
    <w:rsid w:val="00031A79"/>
    <w:rsid w:val="00031C80"/>
    <w:rsid w:val="000329A4"/>
    <w:rsid w:val="00035025"/>
    <w:rsid w:val="00040CA0"/>
    <w:rsid w:val="000414E7"/>
    <w:rsid w:val="00041B51"/>
    <w:rsid w:val="000439C0"/>
    <w:rsid w:val="00044F64"/>
    <w:rsid w:val="00045181"/>
    <w:rsid w:val="00045249"/>
    <w:rsid w:val="00046D7D"/>
    <w:rsid w:val="000505B8"/>
    <w:rsid w:val="0005060D"/>
    <w:rsid w:val="00051544"/>
    <w:rsid w:val="00051D5E"/>
    <w:rsid w:val="000526CD"/>
    <w:rsid w:val="00057C69"/>
    <w:rsid w:val="00064241"/>
    <w:rsid w:val="00065075"/>
    <w:rsid w:val="00066A6D"/>
    <w:rsid w:val="00070A13"/>
    <w:rsid w:val="0007342D"/>
    <w:rsid w:val="00073760"/>
    <w:rsid w:val="00073BC8"/>
    <w:rsid w:val="00075B0C"/>
    <w:rsid w:val="00075F83"/>
    <w:rsid w:val="00080205"/>
    <w:rsid w:val="00081602"/>
    <w:rsid w:val="00081D9C"/>
    <w:rsid w:val="00082E49"/>
    <w:rsid w:val="00083A6C"/>
    <w:rsid w:val="00083F99"/>
    <w:rsid w:val="0008488F"/>
    <w:rsid w:val="00084AD7"/>
    <w:rsid w:val="00087419"/>
    <w:rsid w:val="0009020E"/>
    <w:rsid w:val="0009043D"/>
    <w:rsid w:val="00094964"/>
    <w:rsid w:val="00095032"/>
    <w:rsid w:val="0009637C"/>
    <w:rsid w:val="000976F0"/>
    <w:rsid w:val="000A13DC"/>
    <w:rsid w:val="000A1596"/>
    <w:rsid w:val="000A4668"/>
    <w:rsid w:val="000A4CB4"/>
    <w:rsid w:val="000A4F66"/>
    <w:rsid w:val="000A7FE3"/>
    <w:rsid w:val="000B0D1A"/>
    <w:rsid w:val="000B18BA"/>
    <w:rsid w:val="000B222A"/>
    <w:rsid w:val="000B2A72"/>
    <w:rsid w:val="000B3D04"/>
    <w:rsid w:val="000B4A94"/>
    <w:rsid w:val="000B6F4B"/>
    <w:rsid w:val="000C15FA"/>
    <w:rsid w:val="000C1D28"/>
    <w:rsid w:val="000C1E50"/>
    <w:rsid w:val="000C2293"/>
    <w:rsid w:val="000C3242"/>
    <w:rsid w:val="000C4D96"/>
    <w:rsid w:val="000C4D9A"/>
    <w:rsid w:val="000D0AA8"/>
    <w:rsid w:val="000D1E2F"/>
    <w:rsid w:val="000D2744"/>
    <w:rsid w:val="000E064D"/>
    <w:rsid w:val="000E44C1"/>
    <w:rsid w:val="000E45BF"/>
    <w:rsid w:val="000E7444"/>
    <w:rsid w:val="000F0B3F"/>
    <w:rsid w:val="000F0F9C"/>
    <w:rsid w:val="000F1378"/>
    <w:rsid w:val="000F1B93"/>
    <w:rsid w:val="000F20B5"/>
    <w:rsid w:val="000F2A8F"/>
    <w:rsid w:val="000F6DF1"/>
    <w:rsid w:val="00100ED0"/>
    <w:rsid w:val="0010270D"/>
    <w:rsid w:val="00102DB9"/>
    <w:rsid w:val="001033FC"/>
    <w:rsid w:val="001045A7"/>
    <w:rsid w:val="00105BC0"/>
    <w:rsid w:val="001067FE"/>
    <w:rsid w:val="0010684D"/>
    <w:rsid w:val="001079C5"/>
    <w:rsid w:val="00110FD3"/>
    <w:rsid w:val="00112D20"/>
    <w:rsid w:val="00114870"/>
    <w:rsid w:val="00115A57"/>
    <w:rsid w:val="0012005A"/>
    <w:rsid w:val="00120D94"/>
    <w:rsid w:val="001248F1"/>
    <w:rsid w:val="00125C0D"/>
    <w:rsid w:val="00126A8F"/>
    <w:rsid w:val="00126F50"/>
    <w:rsid w:val="001272CB"/>
    <w:rsid w:val="00133CD6"/>
    <w:rsid w:val="0013405C"/>
    <w:rsid w:val="0013499D"/>
    <w:rsid w:val="00135AAC"/>
    <w:rsid w:val="00140A7C"/>
    <w:rsid w:val="00141221"/>
    <w:rsid w:val="00141D24"/>
    <w:rsid w:val="00143493"/>
    <w:rsid w:val="00150013"/>
    <w:rsid w:val="00150455"/>
    <w:rsid w:val="0015309E"/>
    <w:rsid w:val="001536FC"/>
    <w:rsid w:val="00153C05"/>
    <w:rsid w:val="00153DF3"/>
    <w:rsid w:val="00154C50"/>
    <w:rsid w:val="00155492"/>
    <w:rsid w:val="00155CC0"/>
    <w:rsid w:val="00160F4C"/>
    <w:rsid w:val="001611C8"/>
    <w:rsid w:val="00161C9A"/>
    <w:rsid w:val="0016365E"/>
    <w:rsid w:val="00163E61"/>
    <w:rsid w:val="001643A7"/>
    <w:rsid w:val="00166D86"/>
    <w:rsid w:val="00171280"/>
    <w:rsid w:val="00175233"/>
    <w:rsid w:val="0017628F"/>
    <w:rsid w:val="00176676"/>
    <w:rsid w:val="00176A88"/>
    <w:rsid w:val="00176B23"/>
    <w:rsid w:val="0017765C"/>
    <w:rsid w:val="001814A0"/>
    <w:rsid w:val="00183E12"/>
    <w:rsid w:val="001878B5"/>
    <w:rsid w:val="00190304"/>
    <w:rsid w:val="00193B25"/>
    <w:rsid w:val="00194AE5"/>
    <w:rsid w:val="00194C68"/>
    <w:rsid w:val="00195625"/>
    <w:rsid w:val="00196177"/>
    <w:rsid w:val="00196A02"/>
    <w:rsid w:val="00196A03"/>
    <w:rsid w:val="001A1FC6"/>
    <w:rsid w:val="001A34C2"/>
    <w:rsid w:val="001A39BE"/>
    <w:rsid w:val="001A4603"/>
    <w:rsid w:val="001A64A5"/>
    <w:rsid w:val="001A6724"/>
    <w:rsid w:val="001A6EE2"/>
    <w:rsid w:val="001B6297"/>
    <w:rsid w:val="001C0D17"/>
    <w:rsid w:val="001C1579"/>
    <w:rsid w:val="001C4037"/>
    <w:rsid w:val="001C4A42"/>
    <w:rsid w:val="001C5777"/>
    <w:rsid w:val="001C6133"/>
    <w:rsid w:val="001C6B1F"/>
    <w:rsid w:val="001C72D4"/>
    <w:rsid w:val="001D1014"/>
    <w:rsid w:val="001D1556"/>
    <w:rsid w:val="001D2BAA"/>
    <w:rsid w:val="001D3E69"/>
    <w:rsid w:val="001D5877"/>
    <w:rsid w:val="001D5F13"/>
    <w:rsid w:val="001D61C9"/>
    <w:rsid w:val="001D6507"/>
    <w:rsid w:val="001D6F99"/>
    <w:rsid w:val="001E1490"/>
    <w:rsid w:val="001E1589"/>
    <w:rsid w:val="001E19FF"/>
    <w:rsid w:val="001E3398"/>
    <w:rsid w:val="001E6368"/>
    <w:rsid w:val="001E6D1D"/>
    <w:rsid w:val="001F028B"/>
    <w:rsid w:val="001F13C2"/>
    <w:rsid w:val="001F194F"/>
    <w:rsid w:val="001F221C"/>
    <w:rsid w:val="001F227A"/>
    <w:rsid w:val="001F29CC"/>
    <w:rsid w:val="001F2B89"/>
    <w:rsid w:val="001F33F7"/>
    <w:rsid w:val="001F5045"/>
    <w:rsid w:val="001F58D5"/>
    <w:rsid w:val="001F75E4"/>
    <w:rsid w:val="00200AFC"/>
    <w:rsid w:val="00200B6A"/>
    <w:rsid w:val="00203096"/>
    <w:rsid w:val="00203706"/>
    <w:rsid w:val="00203F49"/>
    <w:rsid w:val="00204B18"/>
    <w:rsid w:val="00206754"/>
    <w:rsid w:val="00206D97"/>
    <w:rsid w:val="00212F41"/>
    <w:rsid w:val="00214095"/>
    <w:rsid w:val="002144B6"/>
    <w:rsid w:val="0021730F"/>
    <w:rsid w:val="0021782F"/>
    <w:rsid w:val="0022011C"/>
    <w:rsid w:val="002219AF"/>
    <w:rsid w:val="00222853"/>
    <w:rsid w:val="00222897"/>
    <w:rsid w:val="00224E53"/>
    <w:rsid w:val="0022509E"/>
    <w:rsid w:val="00226377"/>
    <w:rsid w:val="00226686"/>
    <w:rsid w:val="00233D08"/>
    <w:rsid w:val="00236B95"/>
    <w:rsid w:val="002442DC"/>
    <w:rsid w:val="00246E07"/>
    <w:rsid w:val="00247450"/>
    <w:rsid w:val="00247D3E"/>
    <w:rsid w:val="002501EC"/>
    <w:rsid w:val="00250BCA"/>
    <w:rsid w:val="002517F1"/>
    <w:rsid w:val="002517FD"/>
    <w:rsid w:val="002522F1"/>
    <w:rsid w:val="00253C36"/>
    <w:rsid w:val="00253E99"/>
    <w:rsid w:val="00255AE9"/>
    <w:rsid w:val="002563E5"/>
    <w:rsid w:val="00260D3F"/>
    <w:rsid w:val="00262A8F"/>
    <w:rsid w:val="002633B5"/>
    <w:rsid w:val="0026455D"/>
    <w:rsid w:val="00272832"/>
    <w:rsid w:val="002728A0"/>
    <w:rsid w:val="00273F93"/>
    <w:rsid w:val="002751BF"/>
    <w:rsid w:val="00275773"/>
    <w:rsid w:val="0027585B"/>
    <w:rsid w:val="002761E5"/>
    <w:rsid w:val="00277E62"/>
    <w:rsid w:val="002818AA"/>
    <w:rsid w:val="002863A2"/>
    <w:rsid w:val="002909EE"/>
    <w:rsid w:val="00293D51"/>
    <w:rsid w:val="002A0B2B"/>
    <w:rsid w:val="002A0D3A"/>
    <w:rsid w:val="002A3D49"/>
    <w:rsid w:val="002A49C3"/>
    <w:rsid w:val="002A5E31"/>
    <w:rsid w:val="002A7929"/>
    <w:rsid w:val="002B2C37"/>
    <w:rsid w:val="002B413B"/>
    <w:rsid w:val="002B50E3"/>
    <w:rsid w:val="002C0890"/>
    <w:rsid w:val="002C1C7F"/>
    <w:rsid w:val="002C33E3"/>
    <w:rsid w:val="002C4F84"/>
    <w:rsid w:val="002C5018"/>
    <w:rsid w:val="002C57CC"/>
    <w:rsid w:val="002C640B"/>
    <w:rsid w:val="002C6745"/>
    <w:rsid w:val="002D081F"/>
    <w:rsid w:val="002D0DF4"/>
    <w:rsid w:val="002D0E35"/>
    <w:rsid w:val="002D213B"/>
    <w:rsid w:val="002D241F"/>
    <w:rsid w:val="002D33D3"/>
    <w:rsid w:val="002D3723"/>
    <w:rsid w:val="002D5A36"/>
    <w:rsid w:val="002D7A71"/>
    <w:rsid w:val="002E37D4"/>
    <w:rsid w:val="002E3878"/>
    <w:rsid w:val="002E4DA1"/>
    <w:rsid w:val="002F1B76"/>
    <w:rsid w:val="002F42D7"/>
    <w:rsid w:val="002F5F7C"/>
    <w:rsid w:val="002F6A17"/>
    <w:rsid w:val="0030016F"/>
    <w:rsid w:val="00300271"/>
    <w:rsid w:val="0030253E"/>
    <w:rsid w:val="00306E1E"/>
    <w:rsid w:val="0030739B"/>
    <w:rsid w:val="003109A5"/>
    <w:rsid w:val="00311F06"/>
    <w:rsid w:val="0031350E"/>
    <w:rsid w:val="0031438B"/>
    <w:rsid w:val="00315558"/>
    <w:rsid w:val="0031708B"/>
    <w:rsid w:val="00321247"/>
    <w:rsid w:val="003234C5"/>
    <w:rsid w:val="00324554"/>
    <w:rsid w:val="003321EF"/>
    <w:rsid w:val="00334BB6"/>
    <w:rsid w:val="00334DAB"/>
    <w:rsid w:val="0033573A"/>
    <w:rsid w:val="00336BB6"/>
    <w:rsid w:val="00337B22"/>
    <w:rsid w:val="00341888"/>
    <w:rsid w:val="00341FD4"/>
    <w:rsid w:val="00342948"/>
    <w:rsid w:val="00345AF6"/>
    <w:rsid w:val="003512AE"/>
    <w:rsid w:val="003517FC"/>
    <w:rsid w:val="00351A61"/>
    <w:rsid w:val="00355C49"/>
    <w:rsid w:val="00363D50"/>
    <w:rsid w:val="00365EE9"/>
    <w:rsid w:val="00373A49"/>
    <w:rsid w:val="0037432B"/>
    <w:rsid w:val="00374812"/>
    <w:rsid w:val="00375C35"/>
    <w:rsid w:val="00375C60"/>
    <w:rsid w:val="00376C41"/>
    <w:rsid w:val="00380BBC"/>
    <w:rsid w:val="00383473"/>
    <w:rsid w:val="00383CFF"/>
    <w:rsid w:val="00384375"/>
    <w:rsid w:val="003844EF"/>
    <w:rsid w:val="003865BD"/>
    <w:rsid w:val="003874C1"/>
    <w:rsid w:val="0039046D"/>
    <w:rsid w:val="00391421"/>
    <w:rsid w:val="0039228A"/>
    <w:rsid w:val="00392C5E"/>
    <w:rsid w:val="003956A9"/>
    <w:rsid w:val="003A123D"/>
    <w:rsid w:val="003A4BA9"/>
    <w:rsid w:val="003A4EA4"/>
    <w:rsid w:val="003B09B9"/>
    <w:rsid w:val="003B2B50"/>
    <w:rsid w:val="003B414A"/>
    <w:rsid w:val="003B4439"/>
    <w:rsid w:val="003B4BDA"/>
    <w:rsid w:val="003B5903"/>
    <w:rsid w:val="003B6937"/>
    <w:rsid w:val="003C05DB"/>
    <w:rsid w:val="003C253A"/>
    <w:rsid w:val="003C4B83"/>
    <w:rsid w:val="003C7B51"/>
    <w:rsid w:val="003D23B8"/>
    <w:rsid w:val="003D2613"/>
    <w:rsid w:val="003D324D"/>
    <w:rsid w:val="003D4187"/>
    <w:rsid w:val="003D501D"/>
    <w:rsid w:val="003D5972"/>
    <w:rsid w:val="003D60A7"/>
    <w:rsid w:val="003D6572"/>
    <w:rsid w:val="003D787A"/>
    <w:rsid w:val="003E083F"/>
    <w:rsid w:val="003E090C"/>
    <w:rsid w:val="003E125F"/>
    <w:rsid w:val="003E200E"/>
    <w:rsid w:val="003E27A7"/>
    <w:rsid w:val="003E3A6A"/>
    <w:rsid w:val="003E3DD7"/>
    <w:rsid w:val="003E53AB"/>
    <w:rsid w:val="003E7360"/>
    <w:rsid w:val="003F0001"/>
    <w:rsid w:val="003F02EA"/>
    <w:rsid w:val="003F1A8D"/>
    <w:rsid w:val="003F2F25"/>
    <w:rsid w:val="003F4188"/>
    <w:rsid w:val="003F423D"/>
    <w:rsid w:val="003F4B29"/>
    <w:rsid w:val="003F5C73"/>
    <w:rsid w:val="003F6FB3"/>
    <w:rsid w:val="003F7787"/>
    <w:rsid w:val="003F7B48"/>
    <w:rsid w:val="00401B70"/>
    <w:rsid w:val="00402E87"/>
    <w:rsid w:val="00410E9C"/>
    <w:rsid w:val="00410F03"/>
    <w:rsid w:val="004127C1"/>
    <w:rsid w:val="00412AC8"/>
    <w:rsid w:val="00414874"/>
    <w:rsid w:val="00415470"/>
    <w:rsid w:val="004158C5"/>
    <w:rsid w:val="0042404D"/>
    <w:rsid w:val="00424784"/>
    <w:rsid w:val="00427BFB"/>
    <w:rsid w:val="00430735"/>
    <w:rsid w:val="004309FE"/>
    <w:rsid w:val="004346B4"/>
    <w:rsid w:val="00434B3A"/>
    <w:rsid w:val="00440319"/>
    <w:rsid w:val="00442A3D"/>
    <w:rsid w:val="00443702"/>
    <w:rsid w:val="004459EC"/>
    <w:rsid w:val="00447281"/>
    <w:rsid w:val="00450E49"/>
    <w:rsid w:val="00452DED"/>
    <w:rsid w:val="00454C5D"/>
    <w:rsid w:val="004554C6"/>
    <w:rsid w:val="00455F7C"/>
    <w:rsid w:val="0046133C"/>
    <w:rsid w:val="00462BF7"/>
    <w:rsid w:val="00463FF1"/>
    <w:rsid w:val="0046591D"/>
    <w:rsid w:val="00466ED1"/>
    <w:rsid w:val="0047116A"/>
    <w:rsid w:val="0047125B"/>
    <w:rsid w:val="00471B0C"/>
    <w:rsid w:val="00471FE8"/>
    <w:rsid w:val="00482127"/>
    <w:rsid w:val="004825F8"/>
    <w:rsid w:val="00482EAB"/>
    <w:rsid w:val="0048328B"/>
    <w:rsid w:val="004876A8"/>
    <w:rsid w:val="00487B9B"/>
    <w:rsid w:val="00490CE2"/>
    <w:rsid w:val="0049127A"/>
    <w:rsid w:val="00491F51"/>
    <w:rsid w:val="00493114"/>
    <w:rsid w:val="004940FA"/>
    <w:rsid w:val="00494706"/>
    <w:rsid w:val="0049501D"/>
    <w:rsid w:val="004A05E2"/>
    <w:rsid w:val="004A1053"/>
    <w:rsid w:val="004A14BD"/>
    <w:rsid w:val="004A22B6"/>
    <w:rsid w:val="004A51E6"/>
    <w:rsid w:val="004A5967"/>
    <w:rsid w:val="004A5FC9"/>
    <w:rsid w:val="004B0CC5"/>
    <w:rsid w:val="004B2808"/>
    <w:rsid w:val="004B3304"/>
    <w:rsid w:val="004B397C"/>
    <w:rsid w:val="004B3E56"/>
    <w:rsid w:val="004B646C"/>
    <w:rsid w:val="004B7DB4"/>
    <w:rsid w:val="004B7EDE"/>
    <w:rsid w:val="004C33C9"/>
    <w:rsid w:val="004C3D95"/>
    <w:rsid w:val="004C75D3"/>
    <w:rsid w:val="004C78A9"/>
    <w:rsid w:val="004D2B2D"/>
    <w:rsid w:val="004D2C8E"/>
    <w:rsid w:val="004D2F14"/>
    <w:rsid w:val="004D55F3"/>
    <w:rsid w:val="004D57EE"/>
    <w:rsid w:val="004D5C1F"/>
    <w:rsid w:val="004D6DA6"/>
    <w:rsid w:val="004E03DC"/>
    <w:rsid w:val="004E04A9"/>
    <w:rsid w:val="004E350A"/>
    <w:rsid w:val="004E5AF6"/>
    <w:rsid w:val="004E5C39"/>
    <w:rsid w:val="004E6F76"/>
    <w:rsid w:val="004E70ED"/>
    <w:rsid w:val="004F007E"/>
    <w:rsid w:val="004F2779"/>
    <w:rsid w:val="004F74A0"/>
    <w:rsid w:val="004F752E"/>
    <w:rsid w:val="004F7E8E"/>
    <w:rsid w:val="00501D8A"/>
    <w:rsid w:val="00502962"/>
    <w:rsid w:val="00502C77"/>
    <w:rsid w:val="0050335F"/>
    <w:rsid w:val="00503719"/>
    <w:rsid w:val="00504265"/>
    <w:rsid w:val="00504D68"/>
    <w:rsid w:val="00504E1B"/>
    <w:rsid w:val="00505D24"/>
    <w:rsid w:val="00510371"/>
    <w:rsid w:val="00513FD3"/>
    <w:rsid w:val="0051469B"/>
    <w:rsid w:val="005179E8"/>
    <w:rsid w:val="00517EE7"/>
    <w:rsid w:val="00520D35"/>
    <w:rsid w:val="00523662"/>
    <w:rsid w:val="00523923"/>
    <w:rsid w:val="00524FD8"/>
    <w:rsid w:val="005250FD"/>
    <w:rsid w:val="00525A9D"/>
    <w:rsid w:val="005260DC"/>
    <w:rsid w:val="00531851"/>
    <w:rsid w:val="00531B8C"/>
    <w:rsid w:val="00535F14"/>
    <w:rsid w:val="005373D0"/>
    <w:rsid w:val="005411A3"/>
    <w:rsid w:val="00543FAD"/>
    <w:rsid w:val="005447A7"/>
    <w:rsid w:val="00545E9F"/>
    <w:rsid w:val="005466E3"/>
    <w:rsid w:val="00546761"/>
    <w:rsid w:val="00546790"/>
    <w:rsid w:val="005472F8"/>
    <w:rsid w:val="0055058D"/>
    <w:rsid w:val="005513A1"/>
    <w:rsid w:val="00552A60"/>
    <w:rsid w:val="00553661"/>
    <w:rsid w:val="005541C3"/>
    <w:rsid w:val="00554BF0"/>
    <w:rsid w:val="00555E6B"/>
    <w:rsid w:val="0056078C"/>
    <w:rsid w:val="005620C4"/>
    <w:rsid w:val="00562DDA"/>
    <w:rsid w:val="005630A9"/>
    <w:rsid w:val="00565455"/>
    <w:rsid w:val="005673B7"/>
    <w:rsid w:val="00567D43"/>
    <w:rsid w:val="00570705"/>
    <w:rsid w:val="00571926"/>
    <w:rsid w:val="005740BD"/>
    <w:rsid w:val="005744A8"/>
    <w:rsid w:val="0057697D"/>
    <w:rsid w:val="00576ABC"/>
    <w:rsid w:val="00580561"/>
    <w:rsid w:val="00582974"/>
    <w:rsid w:val="00582A7B"/>
    <w:rsid w:val="0058616E"/>
    <w:rsid w:val="0058673A"/>
    <w:rsid w:val="00587E99"/>
    <w:rsid w:val="005937BB"/>
    <w:rsid w:val="00593DFA"/>
    <w:rsid w:val="0059406A"/>
    <w:rsid w:val="00594A47"/>
    <w:rsid w:val="00595232"/>
    <w:rsid w:val="0059717A"/>
    <w:rsid w:val="00597CF6"/>
    <w:rsid w:val="005A0077"/>
    <w:rsid w:val="005A03D4"/>
    <w:rsid w:val="005A12A0"/>
    <w:rsid w:val="005A3590"/>
    <w:rsid w:val="005A3932"/>
    <w:rsid w:val="005A40C0"/>
    <w:rsid w:val="005A6188"/>
    <w:rsid w:val="005B1752"/>
    <w:rsid w:val="005C0F5F"/>
    <w:rsid w:val="005C2925"/>
    <w:rsid w:val="005C3118"/>
    <w:rsid w:val="005C313B"/>
    <w:rsid w:val="005C31FC"/>
    <w:rsid w:val="005C3CE9"/>
    <w:rsid w:val="005C4454"/>
    <w:rsid w:val="005C4CD4"/>
    <w:rsid w:val="005C5004"/>
    <w:rsid w:val="005C5196"/>
    <w:rsid w:val="005C6136"/>
    <w:rsid w:val="005D038D"/>
    <w:rsid w:val="005D0BDB"/>
    <w:rsid w:val="005D1579"/>
    <w:rsid w:val="005D19FA"/>
    <w:rsid w:val="005D3E42"/>
    <w:rsid w:val="005D4F48"/>
    <w:rsid w:val="005D55BA"/>
    <w:rsid w:val="005D5D81"/>
    <w:rsid w:val="005D5FDC"/>
    <w:rsid w:val="005D607C"/>
    <w:rsid w:val="005D623B"/>
    <w:rsid w:val="005D71B5"/>
    <w:rsid w:val="005D7B19"/>
    <w:rsid w:val="005E0064"/>
    <w:rsid w:val="005E0B26"/>
    <w:rsid w:val="005E0D87"/>
    <w:rsid w:val="005E2EFB"/>
    <w:rsid w:val="005E6DEC"/>
    <w:rsid w:val="005F01E3"/>
    <w:rsid w:val="005F1926"/>
    <w:rsid w:val="005F3FAC"/>
    <w:rsid w:val="005F425D"/>
    <w:rsid w:val="005F60CB"/>
    <w:rsid w:val="005F78D8"/>
    <w:rsid w:val="00602256"/>
    <w:rsid w:val="0060229F"/>
    <w:rsid w:val="006023FE"/>
    <w:rsid w:val="006056AD"/>
    <w:rsid w:val="006057B3"/>
    <w:rsid w:val="006058DF"/>
    <w:rsid w:val="00605970"/>
    <w:rsid w:val="006061ED"/>
    <w:rsid w:val="00606244"/>
    <w:rsid w:val="0060642E"/>
    <w:rsid w:val="0060744F"/>
    <w:rsid w:val="0061078A"/>
    <w:rsid w:val="00615A05"/>
    <w:rsid w:val="00617D44"/>
    <w:rsid w:val="00620730"/>
    <w:rsid w:val="0062249F"/>
    <w:rsid w:val="00622766"/>
    <w:rsid w:val="0062291B"/>
    <w:rsid w:val="00622F88"/>
    <w:rsid w:val="006256A7"/>
    <w:rsid w:val="00627E88"/>
    <w:rsid w:val="00627F31"/>
    <w:rsid w:val="006315ED"/>
    <w:rsid w:val="00633C80"/>
    <w:rsid w:val="00633EC4"/>
    <w:rsid w:val="00634C4F"/>
    <w:rsid w:val="00636BDC"/>
    <w:rsid w:val="00636CAB"/>
    <w:rsid w:val="00636F4A"/>
    <w:rsid w:val="00637A9F"/>
    <w:rsid w:val="006428A0"/>
    <w:rsid w:val="006431F6"/>
    <w:rsid w:val="00644260"/>
    <w:rsid w:val="00645643"/>
    <w:rsid w:val="00646C09"/>
    <w:rsid w:val="00650BD3"/>
    <w:rsid w:val="00651EE3"/>
    <w:rsid w:val="00652194"/>
    <w:rsid w:val="006525C2"/>
    <w:rsid w:val="006529F5"/>
    <w:rsid w:val="00652C4C"/>
    <w:rsid w:val="00657531"/>
    <w:rsid w:val="006579AD"/>
    <w:rsid w:val="00660003"/>
    <w:rsid w:val="00661896"/>
    <w:rsid w:val="00667F6D"/>
    <w:rsid w:val="00671731"/>
    <w:rsid w:val="00671C8D"/>
    <w:rsid w:val="0067458A"/>
    <w:rsid w:val="006779AB"/>
    <w:rsid w:val="006804C2"/>
    <w:rsid w:val="00680AE3"/>
    <w:rsid w:val="00680EEA"/>
    <w:rsid w:val="0068118A"/>
    <w:rsid w:val="006813D9"/>
    <w:rsid w:val="00682D87"/>
    <w:rsid w:val="00685606"/>
    <w:rsid w:val="0068677A"/>
    <w:rsid w:val="006913E2"/>
    <w:rsid w:val="0069140D"/>
    <w:rsid w:val="00691F78"/>
    <w:rsid w:val="00694B02"/>
    <w:rsid w:val="00694CF9"/>
    <w:rsid w:val="0069601D"/>
    <w:rsid w:val="00697724"/>
    <w:rsid w:val="00697757"/>
    <w:rsid w:val="006A2E23"/>
    <w:rsid w:val="006A3D6C"/>
    <w:rsid w:val="006A4F86"/>
    <w:rsid w:val="006A50AC"/>
    <w:rsid w:val="006A6992"/>
    <w:rsid w:val="006A78F4"/>
    <w:rsid w:val="006B0E7D"/>
    <w:rsid w:val="006B25E9"/>
    <w:rsid w:val="006B385C"/>
    <w:rsid w:val="006B657F"/>
    <w:rsid w:val="006B77B9"/>
    <w:rsid w:val="006C0F3F"/>
    <w:rsid w:val="006C2B2A"/>
    <w:rsid w:val="006C44A7"/>
    <w:rsid w:val="006C7829"/>
    <w:rsid w:val="006D2DD9"/>
    <w:rsid w:val="006D6A05"/>
    <w:rsid w:val="006E02D9"/>
    <w:rsid w:val="006E08C0"/>
    <w:rsid w:val="006E08EB"/>
    <w:rsid w:val="006E100C"/>
    <w:rsid w:val="006E1598"/>
    <w:rsid w:val="006E1702"/>
    <w:rsid w:val="006E2EB6"/>
    <w:rsid w:val="006E31D9"/>
    <w:rsid w:val="006E67C4"/>
    <w:rsid w:val="006F0579"/>
    <w:rsid w:val="006F1BA2"/>
    <w:rsid w:val="006F32AE"/>
    <w:rsid w:val="006F5092"/>
    <w:rsid w:val="006F5BB1"/>
    <w:rsid w:val="006F5BCF"/>
    <w:rsid w:val="006F5DEB"/>
    <w:rsid w:val="006F6B06"/>
    <w:rsid w:val="006F702F"/>
    <w:rsid w:val="006F78C2"/>
    <w:rsid w:val="006F79B0"/>
    <w:rsid w:val="006F7D1D"/>
    <w:rsid w:val="007001EF"/>
    <w:rsid w:val="00701759"/>
    <w:rsid w:val="00701D1B"/>
    <w:rsid w:val="007027A5"/>
    <w:rsid w:val="00703EFC"/>
    <w:rsid w:val="00710A19"/>
    <w:rsid w:val="00711119"/>
    <w:rsid w:val="00711BB3"/>
    <w:rsid w:val="00712CF1"/>
    <w:rsid w:val="00715378"/>
    <w:rsid w:val="00715C66"/>
    <w:rsid w:val="00716FB9"/>
    <w:rsid w:val="00720296"/>
    <w:rsid w:val="007232C0"/>
    <w:rsid w:val="007253C4"/>
    <w:rsid w:val="0072721C"/>
    <w:rsid w:val="007314DF"/>
    <w:rsid w:val="007324E9"/>
    <w:rsid w:val="0073255A"/>
    <w:rsid w:val="00735E88"/>
    <w:rsid w:val="00737083"/>
    <w:rsid w:val="007373F2"/>
    <w:rsid w:val="00737676"/>
    <w:rsid w:val="00740976"/>
    <w:rsid w:val="00740BC6"/>
    <w:rsid w:val="00741FC9"/>
    <w:rsid w:val="007428C2"/>
    <w:rsid w:val="00743F67"/>
    <w:rsid w:val="007440C0"/>
    <w:rsid w:val="0074526D"/>
    <w:rsid w:val="00746C91"/>
    <w:rsid w:val="00751756"/>
    <w:rsid w:val="00751E38"/>
    <w:rsid w:val="007527FE"/>
    <w:rsid w:val="00755EC9"/>
    <w:rsid w:val="00756D40"/>
    <w:rsid w:val="0076163D"/>
    <w:rsid w:val="007618E0"/>
    <w:rsid w:val="007621C1"/>
    <w:rsid w:val="00762D18"/>
    <w:rsid w:val="007634D6"/>
    <w:rsid w:val="00763551"/>
    <w:rsid w:val="00763D8E"/>
    <w:rsid w:val="00764FEA"/>
    <w:rsid w:val="007657C8"/>
    <w:rsid w:val="007671AD"/>
    <w:rsid w:val="00770536"/>
    <w:rsid w:val="00770B2B"/>
    <w:rsid w:val="00771DFF"/>
    <w:rsid w:val="0077208D"/>
    <w:rsid w:val="0077241C"/>
    <w:rsid w:val="00774574"/>
    <w:rsid w:val="0077525B"/>
    <w:rsid w:val="007761A4"/>
    <w:rsid w:val="007806EB"/>
    <w:rsid w:val="00780FDA"/>
    <w:rsid w:val="0078273C"/>
    <w:rsid w:val="007836B6"/>
    <w:rsid w:val="00784434"/>
    <w:rsid w:val="007852E7"/>
    <w:rsid w:val="00786860"/>
    <w:rsid w:val="00787C9B"/>
    <w:rsid w:val="007903FD"/>
    <w:rsid w:val="007920C8"/>
    <w:rsid w:val="007921E8"/>
    <w:rsid w:val="007938AB"/>
    <w:rsid w:val="00793932"/>
    <w:rsid w:val="007939AA"/>
    <w:rsid w:val="007944F0"/>
    <w:rsid w:val="007951E8"/>
    <w:rsid w:val="00796724"/>
    <w:rsid w:val="0079764B"/>
    <w:rsid w:val="007A14C9"/>
    <w:rsid w:val="007A1926"/>
    <w:rsid w:val="007A1F22"/>
    <w:rsid w:val="007A5C2C"/>
    <w:rsid w:val="007A5C78"/>
    <w:rsid w:val="007A778B"/>
    <w:rsid w:val="007B0638"/>
    <w:rsid w:val="007B101E"/>
    <w:rsid w:val="007B37BE"/>
    <w:rsid w:val="007C09C4"/>
    <w:rsid w:val="007C3D25"/>
    <w:rsid w:val="007C6B31"/>
    <w:rsid w:val="007D0DBE"/>
    <w:rsid w:val="007D1C9B"/>
    <w:rsid w:val="007D2B67"/>
    <w:rsid w:val="007D4758"/>
    <w:rsid w:val="007D66CB"/>
    <w:rsid w:val="007D79A5"/>
    <w:rsid w:val="007D7C7F"/>
    <w:rsid w:val="007E040B"/>
    <w:rsid w:val="007E0F11"/>
    <w:rsid w:val="007E2382"/>
    <w:rsid w:val="007E26DA"/>
    <w:rsid w:val="007E2C85"/>
    <w:rsid w:val="007E2DA6"/>
    <w:rsid w:val="007E5350"/>
    <w:rsid w:val="007E6C7E"/>
    <w:rsid w:val="007F2F2B"/>
    <w:rsid w:val="007F3FEF"/>
    <w:rsid w:val="007F40EE"/>
    <w:rsid w:val="007F45F2"/>
    <w:rsid w:val="007F6C84"/>
    <w:rsid w:val="00800B80"/>
    <w:rsid w:val="0080111C"/>
    <w:rsid w:val="00803492"/>
    <w:rsid w:val="00804D45"/>
    <w:rsid w:val="00804D54"/>
    <w:rsid w:val="00806FDE"/>
    <w:rsid w:val="00807687"/>
    <w:rsid w:val="008078E7"/>
    <w:rsid w:val="008104F6"/>
    <w:rsid w:val="00810D94"/>
    <w:rsid w:val="0081227A"/>
    <w:rsid w:val="00814269"/>
    <w:rsid w:val="00820299"/>
    <w:rsid w:val="00820AB8"/>
    <w:rsid w:val="008227A3"/>
    <w:rsid w:val="00822B02"/>
    <w:rsid w:val="00822BAC"/>
    <w:rsid w:val="00822FD9"/>
    <w:rsid w:val="00825BA4"/>
    <w:rsid w:val="00825E0C"/>
    <w:rsid w:val="00827130"/>
    <w:rsid w:val="00831698"/>
    <w:rsid w:val="00831DFA"/>
    <w:rsid w:val="00833032"/>
    <w:rsid w:val="00833092"/>
    <w:rsid w:val="00833257"/>
    <w:rsid w:val="00837504"/>
    <w:rsid w:val="00840CDD"/>
    <w:rsid w:val="008411EA"/>
    <w:rsid w:val="00842E64"/>
    <w:rsid w:val="00845220"/>
    <w:rsid w:val="0084731D"/>
    <w:rsid w:val="008505EB"/>
    <w:rsid w:val="00850A1B"/>
    <w:rsid w:val="00852083"/>
    <w:rsid w:val="00852E5F"/>
    <w:rsid w:val="0085564A"/>
    <w:rsid w:val="008562D5"/>
    <w:rsid w:val="008601F7"/>
    <w:rsid w:val="00860F10"/>
    <w:rsid w:val="00861440"/>
    <w:rsid w:val="00861DBA"/>
    <w:rsid w:val="008630BD"/>
    <w:rsid w:val="00864F35"/>
    <w:rsid w:val="008660A3"/>
    <w:rsid w:val="0086657C"/>
    <w:rsid w:val="00867123"/>
    <w:rsid w:val="00867748"/>
    <w:rsid w:val="0087000E"/>
    <w:rsid w:val="008712E9"/>
    <w:rsid w:val="008718AE"/>
    <w:rsid w:val="00871CD1"/>
    <w:rsid w:val="008724D3"/>
    <w:rsid w:val="00872A09"/>
    <w:rsid w:val="00872E69"/>
    <w:rsid w:val="008733B6"/>
    <w:rsid w:val="00873CDB"/>
    <w:rsid w:val="008753BB"/>
    <w:rsid w:val="00875A63"/>
    <w:rsid w:val="008764B2"/>
    <w:rsid w:val="00876D89"/>
    <w:rsid w:val="008770C8"/>
    <w:rsid w:val="00877CD3"/>
    <w:rsid w:val="008800AE"/>
    <w:rsid w:val="00880658"/>
    <w:rsid w:val="00881CA2"/>
    <w:rsid w:val="00882E5B"/>
    <w:rsid w:val="00882FEA"/>
    <w:rsid w:val="00883715"/>
    <w:rsid w:val="00883B33"/>
    <w:rsid w:val="00890F69"/>
    <w:rsid w:val="00891FAB"/>
    <w:rsid w:val="00892EC9"/>
    <w:rsid w:val="0089559A"/>
    <w:rsid w:val="00897728"/>
    <w:rsid w:val="008A0839"/>
    <w:rsid w:val="008A0972"/>
    <w:rsid w:val="008A2F04"/>
    <w:rsid w:val="008A2F3F"/>
    <w:rsid w:val="008A5684"/>
    <w:rsid w:val="008A6829"/>
    <w:rsid w:val="008B1946"/>
    <w:rsid w:val="008B4F6E"/>
    <w:rsid w:val="008B70B4"/>
    <w:rsid w:val="008C0289"/>
    <w:rsid w:val="008C12B3"/>
    <w:rsid w:val="008C1CA2"/>
    <w:rsid w:val="008C237B"/>
    <w:rsid w:val="008D0347"/>
    <w:rsid w:val="008D2BEA"/>
    <w:rsid w:val="008D50EC"/>
    <w:rsid w:val="008E1229"/>
    <w:rsid w:val="008E26EB"/>
    <w:rsid w:val="008E425A"/>
    <w:rsid w:val="008E5B59"/>
    <w:rsid w:val="008E667E"/>
    <w:rsid w:val="008E72EA"/>
    <w:rsid w:val="008F1772"/>
    <w:rsid w:val="008F1CB0"/>
    <w:rsid w:val="008F47AC"/>
    <w:rsid w:val="008F4A55"/>
    <w:rsid w:val="008F5CA8"/>
    <w:rsid w:val="008F7A86"/>
    <w:rsid w:val="00900BDC"/>
    <w:rsid w:val="00900FD0"/>
    <w:rsid w:val="00903301"/>
    <w:rsid w:val="00904DE4"/>
    <w:rsid w:val="009101EE"/>
    <w:rsid w:val="00910B50"/>
    <w:rsid w:val="009113B6"/>
    <w:rsid w:val="00912092"/>
    <w:rsid w:val="009125C3"/>
    <w:rsid w:val="009129CC"/>
    <w:rsid w:val="009154FA"/>
    <w:rsid w:val="009176ED"/>
    <w:rsid w:val="0092219F"/>
    <w:rsid w:val="0092524F"/>
    <w:rsid w:val="00926550"/>
    <w:rsid w:val="00926595"/>
    <w:rsid w:val="00927503"/>
    <w:rsid w:val="009303F1"/>
    <w:rsid w:val="00931DFA"/>
    <w:rsid w:val="00933E02"/>
    <w:rsid w:val="00937413"/>
    <w:rsid w:val="00937805"/>
    <w:rsid w:val="00940899"/>
    <w:rsid w:val="00943125"/>
    <w:rsid w:val="00943DE2"/>
    <w:rsid w:val="00945434"/>
    <w:rsid w:val="00945795"/>
    <w:rsid w:val="00945E8D"/>
    <w:rsid w:val="009477AE"/>
    <w:rsid w:val="009478FA"/>
    <w:rsid w:val="00950B39"/>
    <w:rsid w:val="00950FA4"/>
    <w:rsid w:val="009548D4"/>
    <w:rsid w:val="00960192"/>
    <w:rsid w:val="00960AC8"/>
    <w:rsid w:val="009620EF"/>
    <w:rsid w:val="00962FE5"/>
    <w:rsid w:val="00966929"/>
    <w:rsid w:val="009713E4"/>
    <w:rsid w:val="00971B86"/>
    <w:rsid w:val="009720A8"/>
    <w:rsid w:val="0097237A"/>
    <w:rsid w:val="00972D66"/>
    <w:rsid w:val="00972EBC"/>
    <w:rsid w:val="0097423B"/>
    <w:rsid w:val="0097539C"/>
    <w:rsid w:val="00976CF0"/>
    <w:rsid w:val="00983752"/>
    <w:rsid w:val="00983A58"/>
    <w:rsid w:val="00983AE6"/>
    <w:rsid w:val="009852A7"/>
    <w:rsid w:val="009855F3"/>
    <w:rsid w:val="009910B6"/>
    <w:rsid w:val="009918A7"/>
    <w:rsid w:val="009937C8"/>
    <w:rsid w:val="009942AE"/>
    <w:rsid w:val="0099647F"/>
    <w:rsid w:val="00996DC5"/>
    <w:rsid w:val="009972EC"/>
    <w:rsid w:val="00997F88"/>
    <w:rsid w:val="009A0111"/>
    <w:rsid w:val="009A13E0"/>
    <w:rsid w:val="009A33AC"/>
    <w:rsid w:val="009A5369"/>
    <w:rsid w:val="009A5B2C"/>
    <w:rsid w:val="009A67F9"/>
    <w:rsid w:val="009A691E"/>
    <w:rsid w:val="009A7F4A"/>
    <w:rsid w:val="009B1236"/>
    <w:rsid w:val="009B196B"/>
    <w:rsid w:val="009B20DE"/>
    <w:rsid w:val="009B4A03"/>
    <w:rsid w:val="009B4DF6"/>
    <w:rsid w:val="009B55E0"/>
    <w:rsid w:val="009B5B1A"/>
    <w:rsid w:val="009B5F44"/>
    <w:rsid w:val="009B6FB4"/>
    <w:rsid w:val="009B7BD9"/>
    <w:rsid w:val="009C12F8"/>
    <w:rsid w:val="009C2AA9"/>
    <w:rsid w:val="009C37F1"/>
    <w:rsid w:val="009C3B6F"/>
    <w:rsid w:val="009C4A00"/>
    <w:rsid w:val="009C4E45"/>
    <w:rsid w:val="009C68F9"/>
    <w:rsid w:val="009C75C3"/>
    <w:rsid w:val="009D1AFC"/>
    <w:rsid w:val="009D286B"/>
    <w:rsid w:val="009D2A4F"/>
    <w:rsid w:val="009D5A8E"/>
    <w:rsid w:val="009E3302"/>
    <w:rsid w:val="009E380A"/>
    <w:rsid w:val="009E52B3"/>
    <w:rsid w:val="009E6AE2"/>
    <w:rsid w:val="009F06AC"/>
    <w:rsid w:val="009F094D"/>
    <w:rsid w:val="009F2335"/>
    <w:rsid w:val="009F2533"/>
    <w:rsid w:val="009F39F6"/>
    <w:rsid w:val="009F4980"/>
    <w:rsid w:val="009F6020"/>
    <w:rsid w:val="00A01253"/>
    <w:rsid w:val="00A03CF5"/>
    <w:rsid w:val="00A03DB3"/>
    <w:rsid w:val="00A05AC3"/>
    <w:rsid w:val="00A12583"/>
    <w:rsid w:val="00A12FF1"/>
    <w:rsid w:val="00A13DD9"/>
    <w:rsid w:val="00A216CB"/>
    <w:rsid w:val="00A21EC4"/>
    <w:rsid w:val="00A23355"/>
    <w:rsid w:val="00A26A93"/>
    <w:rsid w:val="00A312D6"/>
    <w:rsid w:val="00A33F59"/>
    <w:rsid w:val="00A3449B"/>
    <w:rsid w:val="00A34EBC"/>
    <w:rsid w:val="00A35470"/>
    <w:rsid w:val="00A371E5"/>
    <w:rsid w:val="00A41099"/>
    <w:rsid w:val="00A41211"/>
    <w:rsid w:val="00A41295"/>
    <w:rsid w:val="00A4301B"/>
    <w:rsid w:val="00A43904"/>
    <w:rsid w:val="00A458ED"/>
    <w:rsid w:val="00A4669F"/>
    <w:rsid w:val="00A47109"/>
    <w:rsid w:val="00A47D7C"/>
    <w:rsid w:val="00A5146E"/>
    <w:rsid w:val="00A51CE6"/>
    <w:rsid w:val="00A524C1"/>
    <w:rsid w:val="00A528BF"/>
    <w:rsid w:val="00A52D6D"/>
    <w:rsid w:val="00A53670"/>
    <w:rsid w:val="00A56618"/>
    <w:rsid w:val="00A60E4E"/>
    <w:rsid w:val="00A61F65"/>
    <w:rsid w:val="00A62B77"/>
    <w:rsid w:val="00A64FC8"/>
    <w:rsid w:val="00A65FCF"/>
    <w:rsid w:val="00A661A9"/>
    <w:rsid w:val="00A6641F"/>
    <w:rsid w:val="00A66B11"/>
    <w:rsid w:val="00A67C2F"/>
    <w:rsid w:val="00A67CFF"/>
    <w:rsid w:val="00A73E4A"/>
    <w:rsid w:val="00A75571"/>
    <w:rsid w:val="00A81324"/>
    <w:rsid w:val="00A82189"/>
    <w:rsid w:val="00A90FB9"/>
    <w:rsid w:val="00A90FE7"/>
    <w:rsid w:val="00A9145D"/>
    <w:rsid w:val="00A919C3"/>
    <w:rsid w:val="00A922A9"/>
    <w:rsid w:val="00A95578"/>
    <w:rsid w:val="00A971CB"/>
    <w:rsid w:val="00A9735C"/>
    <w:rsid w:val="00A975B1"/>
    <w:rsid w:val="00AA0498"/>
    <w:rsid w:val="00AA05EE"/>
    <w:rsid w:val="00AA12A8"/>
    <w:rsid w:val="00AA19F7"/>
    <w:rsid w:val="00AA2615"/>
    <w:rsid w:val="00AA35A1"/>
    <w:rsid w:val="00AA4C8A"/>
    <w:rsid w:val="00AA5569"/>
    <w:rsid w:val="00AA6993"/>
    <w:rsid w:val="00AA76B0"/>
    <w:rsid w:val="00AA7EEE"/>
    <w:rsid w:val="00AB1400"/>
    <w:rsid w:val="00AB40A8"/>
    <w:rsid w:val="00AB416D"/>
    <w:rsid w:val="00AB448C"/>
    <w:rsid w:val="00AB5740"/>
    <w:rsid w:val="00AC0076"/>
    <w:rsid w:val="00AC1432"/>
    <w:rsid w:val="00AC350E"/>
    <w:rsid w:val="00AC3F0D"/>
    <w:rsid w:val="00AC48FC"/>
    <w:rsid w:val="00AC4D64"/>
    <w:rsid w:val="00AC5407"/>
    <w:rsid w:val="00AC6677"/>
    <w:rsid w:val="00AC7787"/>
    <w:rsid w:val="00AD08A5"/>
    <w:rsid w:val="00AD17F5"/>
    <w:rsid w:val="00AD299F"/>
    <w:rsid w:val="00AD40EB"/>
    <w:rsid w:val="00AD422A"/>
    <w:rsid w:val="00AD4B2F"/>
    <w:rsid w:val="00AD72DA"/>
    <w:rsid w:val="00AD7F43"/>
    <w:rsid w:val="00AD7FBE"/>
    <w:rsid w:val="00AE0A5D"/>
    <w:rsid w:val="00AE1E84"/>
    <w:rsid w:val="00AE28ED"/>
    <w:rsid w:val="00AE2A64"/>
    <w:rsid w:val="00AE3839"/>
    <w:rsid w:val="00AE4F86"/>
    <w:rsid w:val="00AE612C"/>
    <w:rsid w:val="00AE6526"/>
    <w:rsid w:val="00AE7744"/>
    <w:rsid w:val="00AF0DA7"/>
    <w:rsid w:val="00AF1DA5"/>
    <w:rsid w:val="00AF20E0"/>
    <w:rsid w:val="00AF4236"/>
    <w:rsid w:val="00AF44D1"/>
    <w:rsid w:val="00AF4642"/>
    <w:rsid w:val="00AF4AE0"/>
    <w:rsid w:val="00AF5DB2"/>
    <w:rsid w:val="00AF6D2E"/>
    <w:rsid w:val="00B04139"/>
    <w:rsid w:val="00B05E2B"/>
    <w:rsid w:val="00B07585"/>
    <w:rsid w:val="00B1118F"/>
    <w:rsid w:val="00B11E16"/>
    <w:rsid w:val="00B1256C"/>
    <w:rsid w:val="00B13232"/>
    <w:rsid w:val="00B13932"/>
    <w:rsid w:val="00B15C17"/>
    <w:rsid w:val="00B22C6D"/>
    <w:rsid w:val="00B23AF0"/>
    <w:rsid w:val="00B26A2F"/>
    <w:rsid w:val="00B27C1E"/>
    <w:rsid w:val="00B3004F"/>
    <w:rsid w:val="00B3048D"/>
    <w:rsid w:val="00B30B7C"/>
    <w:rsid w:val="00B3164C"/>
    <w:rsid w:val="00B31883"/>
    <w:rsid w:val="00B3230F"/>
    <w:rsid w:val="00B3316E"/>
    <w:rsid w:val="00B334EE"/>
    <w:rsid w:val="00B33B9D"/>
    <w:rsid w:val="00B33FC0"/>
    <w:rsid w:val="00B35467"/>
    <w:rsid w:val="00B35ABB"/>
    <w:rsid w:val="00B41EA3"/>
    <w:rsid w:val="00B41EF1"/>
    <w:rsid w:val="00B43F9A"/>
    <w:rsid w:val="00B45FD1"/>
    <w:rsid w:val="00B46F2B"/>
    <w:rsid w:val="00B47F5A"/>
    <w:rsid w:val="00B52B5B"/>
    <w:rsid w:val="00B55BE9"/>
    <w:rsid w:val="00B56135"/>
    <w:rsid w:val="00B56471"/>
    <w:rsid w:val="00B5662D"/>
    <w:rsid w:val="00B57103"/>
    <w:rsid w:val="00B578ED"/>
    <w:rsid w:val="00B57FF6"/>
    <w:rsid w:val="00B601B4"/>
    <w:rsid w:val="00B6109B"/>
    <w:rsid w:val="00B6189E"/>
    <w:rsid w:val="00B61C55"/>
    <w:rsid w:val="00B62731"/>
    <w:rsid w:val="00B62AF0"/>
    <w:rsid w:val="00B64A4C"/>
    <w:rsid w:val="00B67367"/>
    <w:rsid w:val="00B70573"/>
    <w:rsid w:val="00B70A71"/>
    <w:rsid w:val="00B71D8E"/>
    <w:rsid w:val="00B7506B"/>
    <w:rsid w:val="00B76357"/>
    <w:rsid w:val="00B77F60"/>
    <w:rsid w:val="00B82377"/>
    <w:rsid w:val="00B8237A"/>
    <w:rsid w:val="00B837A4"/>
    <w:rsid w:val="00B8434B"/>
    <w:rsid w:val="00B85341"/>
    <w:rsid w:val="00B86D25"/>
    <w:rsid w:val="00B8793D"/>
    <w:rsid w:val="00B904A6"/>
    <w:rsid w:val="00B90A77"/>
    <w:rsid w:val="00B9172C"/>
    <w:rsid w:val="00B936DA"/>
    <w:rsid w:val="00B94BF8"/>
    <w:rsid w:val="00BA07D1"/>
    <w:rsid w:val="00BA0806"/>
    <w:rsid w:val="00BA18A9"/>
    <w:rsid w:val="00BA442D"/>
    <w:rsid w:val="00BA508E"/>
    <w:rsid w:val="00BA5714"/>
    <w:rsid w:val="00BA628A"/>
    <w:rsid w:val="00BA631D"/>
    <w:rsid w:val="00BA7101"/>
    <w:rsid w:val="00BB0F3E"/>
    <w:rsid w:val="00BB1F7C"/>
    <w:rsid w:val="00BB4B9C"/>
    <w:rsid w:val="00BC1257"/>
    <w:rsid w:val="00BC33BA"/>
    <w:rsid w:val="00BC34AE"/>
    <w:rsid w:val="00BC356C"/>
    <w:rsid w:val="00BC43A3"/>
    <w:rsid w:val="00BC463C"/>
    <w:rsid w:val="00BC56C0"/>
    <w:rsid w:val="00BC6CB9"/>
    <w:rsid w:val="00BC7659"/>
    <w:rsid w:val="00BD0698"/>
    <w:rsid w:val="00BD1340"/>
    <w:rsid w:val="00BD3F66"/>
    <w:rsid w:val="00BD44E6"/>
    <w:rsid w:val="00BD4730"/>
    <w:rsid w:val="00BD65A3"/>
    <w:rsid w:val="00BD6637"/>
    <w:rsid w:val="00BD6FC7"/>
    <w:rsid w:val="00BD7D4D"/>
    <w:rsid w:val="00BE2969"/>
    <w:rsid w:val="00BE2FE5"/>
    <w:rsid w:val="00BE31FD"/>
    <w:rsid w:val="00BE37EB"/>
    <w:rsid w:val="00BE742F"/>
    <w:rsid w:val="00BF0046"/>
    <w:rsid w:val="00BF07C3"/>
    <w:rsid w:val="00BF22ED"/>
    <w:rsid w:val="00BF4D46"/>
    <w:rsid w:val="00BF5196"/>
    <w:rsid w:val="00BF70F5"/>
    <w:rsid w:val="00BF77B8"/>
    <w:rsid w:val="00BF7D6E"/>
    <w:rsid w:val="00C02706"/>
    <w:rsid w:val="00C049C3"/>
    <w:rsid w:val="00C058DB"/>
    <w:rsid w:val="00C059C6"/>
    <w:rsid w:val="00C111F2"/>
    <w:rsid w:val="00C11E85"/>
    <w:rsid w:val="00C12D9F"/>
    <w:rsid w:val="00C140D8"/>
    <w:rsid w:val="00C1710F"/>
    <w:rsid w:val="00C172B8"/>
    <w:rsid w:val="00C17661"/>
    <w:rsid w:val="00C178CA"/>
    <w:rsid w:val="00C21CAE"/>
    <w:rsid w:val="00C22BEA"/>
    <w:rsid w:val="00C22D2A"/>
    <w:rsid w:val="00C241A4"/>
    <w:rsid w:val="00C24FCB"/>
    <w:rsid w:val="00C27705"/>
    <w:rsid w:val="00C31E3A"/>
    <w:rsid w:val="00C341A0"/>
    <w:rsid w:val="00C3699B"/>
    <w:rsid w:val="00C36A99"/>
    <w:rsid w:val="00C41167"/>
    <w:rsid w:val="00C43A5A"/>
    <w:rsid w:val="00C46AF4"/>
    <w:rsid w:val="00C46E4D"/>
    <w:rsid w:val="00C51CFE"/>
    <w:rsid w:val="00C520AE"/>
    <w:rsid w:val="00C52DAB"/>
    <w:rsid w:val="00C5648F"/>
    <w:rsid w:val="00C56CAD"/>
    <w:rsid w:val="00C574DE"/>
    <w:rsid w:val="00C6209A"/>
    <w:rsid w:val="00C6225E"/>
    <w:rsid w:val="00C62281"/>
    <w:rsid w:val="00C63793"/>
    <w:rsid w:val="00C63FE4"/>
    <w:rsid w:val="00C6489D"/>
    <w:rsid w:val="00C651C1"/>
    <w:rsid w:val="00C65708"/>
    <w:rsid w:val="00C67F58"/>
    <w:rsid w:val="00C703C2"/>
    <w:rsid w:val="00C7144F"/>
    <w:rsid w:val="00C72923"/>
    <w:rsid w:val="00C739D8"/>
    <w:rsid w:val="00C746E5"/>
    <w:rsid w:val="00C76CFC"/>
    <w:rsid w:val="00C8072E"/>
    <w:rsid w:val="00C81B74"/>
    <w:rsid w:val="00C83DFA"/>
    <w:rsid w:val="00C87CDA"/>
    <w:rsid w:val="00C942F8"/>
    <w:rsid w:val="00C95FDE"/>
    <w:rsid w:val="00C96BAF"/>
    <w:rsid w:val="00CA17A2"/>
    <w:rsid w:val="00CA2BAF"/>
    <w:rsid w:val="00CA2E62"/>
    <w:rsid w:val="00CA4645"/>
    <w:rsid w:val="00CA6718"/>
    <w:rsid w:val="00CB0020"/>
    <w:rsid w:val="00CB0455"/>
    <w:rsid w:val="00CB13AB"/>
    <w:rsid w:val="00CB256B"/>
    <w:rsid w:val="00CB4614"/>
    <w:rsid w:val="00CB658A"/>
    <w:rsid w:val="00CC2B00"/>
    <w:rsid w:val="00CC3743"/>
    <w:rsid w:val="00CC493B"/>
    <w:rsid w:val="00CC7646"/>
    <w:rsid w:val="00CD172D"/>
    <w:rsid w:val="00CD2725"/>
    <w:rsid w:val="00CD2968"/>
    <w:rsid w:val="00CD2FAA"/>
    <w:rsid w:val="00CD36AA"/>
    <w:rsid w:val="00CD6414"/>
    <w:rsid w:val="00CD6659"/>
    <w:rsid w:val="00CD6F5A"/>
    <w:rsid w:val="00CD72DB"/>
    <w:rsid w:val="00CE0F21"/>
    <w:rsid w:val="00CE1B3C"/>
    <w:rsid w:val="00CE1CC3"/>
    <w:rsid w:val="00CE20A8"/>
    <w:rsid w:val="00CE2272"/>
    <w:rsid w:val="00CE35B1"/>
    <w:rsid w:val="00CE4939"/>
    <w:rsid w:val="00CE58E8"/>
    <w:rsid w:val="00CE7DE0"/>
    <w:rsid w:val="00CF111F"/>
    <w:rsid w:val="00CF4E8E"/>
    <w:rsid w:val="00CF6D25"/>
    <w:rsid w:val="00D03AC9"/>
    <w:rsid w:val="00D044ED"/>
    <w:rsid w:val="00D05DE4"/>
    <w:rsid w:val="00D107E7"/>
    <w:rsid w:val="00D10EA7"/>
    <w:rsid w:val="00D10F7E"/>
    <w:rsid w:val="00D11DB3"/>
    <w:rsid w:val="00D128F7"/>
    <w:rsid w:val="00D12918"/>
    <w:rsid w:val="00D1737B"/>
    <w:rsid w:val="00D1777E"/>
    <w:rsid w:val="00D1789F"/>
    <w:rsid w:val="00D17C1C"/>
    <w:rsid w:val="00D21BCE"/>
    <w:rsid w:val="00D23B0B"/>
    <w:rsid w:val="00D23C24"/>
    <w:rsid w:val="00D25F6D"/>
    <w:rsid w:val="00D275DD"/>
    <w:rsid w:val="00D30168"/>
    <w:rsid w:val="00D31AEA"/>
    <w:rsid w:val="00D36CB4"/>
    <w:rsid w:val="00D41FCD"/>
    <w:rsid w:val="00D4492E"/>
    <w:rsid w:val="00D457CE"/>
    <w:rsid w:val="00D46DEB"/>
    <w:rsid w:val="00D518EA"/>
    <w:rsid w:val="00D544AD"/>
    <w:rsid w:val="00D567B2"/>
    <w:rsid w:val="00D57154"/>
    <w:rsid w:val="00D61342"/>
    <w:rsid w:val="00D61E0B"/>
    <w:rsid w:val="00D61EA2"/>
    <w:rsid w:val="00D64AB1"/>
    <w:rsid w:val="00D6533F"/>
    <w:rsid w:val="00D670CB"/>
    <w:rsid w:val="00D6776C"/>
    <w:rsid w:val="00D67902"/>
    <w:rsid w:val="00D72462"/>
    <w:rsid w:val="00D745F5"/>
    <w:rsid w:val="00D75BA6"/>
    <w:rsid w:val="00D81885"/>
    <w:rsid w:val="00D84C90"/>
    <w:rsid w:val="00D85469"/>
    <w:rsid w:val="00D854E7"/>
    <w:rsid w:val="00D85B97"/>
    <w:rsid w:val="00D9050F"/>
    <w:rsid w:val="00D91B8E"/>
    <w:rsid w:val="00D92544"/>
    <w:rsid w:val="00D929ED"/>
    <w:rsid w:val="00D94D92"/>
    <w:rsid w:val="00D95CAF"/>
    <w:rsid w:val="00D9779A"/>
    <w:rsid w:val="00DA063F"/>
    <w:rsid w:val="00DA1F1E"/>
    <w:rsid w:val="00DA26BC"/>
    <w:rsid w:val="00DA3CB3"/>
    <w:rsid w:val="00DA3F34"/>
    <w:rsid w:val="00DA4796"/>
    <w:rsid w:val="00DA7E16"/>
    <w:rsid w:val="00DB0171"/>
    <w:rsid w:val="00DB1E1A"/>
    <w:rsid w:val="00DB41BD"/>
    <w:rsid w:val="00DB4D17"/>
    <w:rsid w:val="00DB61F6"/>
    <w:rsid w:val="00DB7CD6"/>
    <w:rsid w:val="00DC2F22"/>
    <w:rsid w:val="00DC3060"/>
    <w:rsid w:val="00DC31A1"/>
    <w:rsid w:val="00DD0D13"/>
    <w:rsid w:val="00DD3D01"/>
    <w:rsid w:val="00DD4E52"/>
    <w:rsid w:val="00DD6181"/>
    <w:rsid w:val="00DD6935"/>
    <w:rsid w:val="00DD7427"/>
    <w:rsid w:val="00DE2083"/>
    <w:rsid w:val="00DE26A1"/>
    <w:rsid w:val="00DE3B47"/>
    <w:rsid w:val="00DE3BA4"/>
    <w:rsid w:val="00DE41A3"/>
    <w:rsid w:val="00DE43A8"/>
    <w:rsid w:val="00DE43C7"/>
    <w:rsid w:val="00DE540C"/>
    <w:rsid w:val="00DE5BB0"/>
    <w:rsid w:val="00DE617E"/>
    <w:rsid w:val="00DE67A2"/>
    <w:rsid w:val="00DF0FE3"/>
    <w:rsid w:val="00DF1BFA"/>
    <w:rsid w:val="00DF40EA"/>
    <w:rsid w:val="00DF4A05"/>
    <w:rsid w:val="00DF6B59"/>
    <w:rsid w:val="00DF708B"/>
    <w:rsid w:val="00DF71D4"/>
    <w:rsid w:val="00E0106E"/>
    <w:rsid w:val="00E05229"/>
    <w:rsid w:val="00E05E1F"/>
    <w:rsid w:val="00E11084"/>
    <w:rsid w:val="00E119DD"/>
    <w:rsid w:val="00E12425"/>
    <w:rsid w:val="00E151B5"/>
    <w:rsid w:val="00E1594C"/>
    <w:rsid w:val="00E168B6"/>
    <w:rsid w:val="00E17D5F"/>
    <w:rsid w:val="00E2467B"/>
    <w:rsid w:val="00E25A68"/>
    <w:rsid w:val="00E3078F"/>
    <w:rsid w:val="00E30C2D"/>
    <w:rsid w:val="00E32D94"/>
    <w:rsid w:val="00E33442"/>
    <w:rsid w:val="00E340E9"/>
    <w:rsid w:val="00E41AF1"/>
    <w:rsid w:val="00E43820"/>
    <w:rsid w:val="00E438A7"/>
    <w:rsid w:val="00E43A23"/>
    <w:rsid w:val="00E441AB"/>
    <w:rsid w:val="00E44D3E"/>
    <w:rsid w:val="00E46804"/>
    <w:rsid w:val="00E50F1D"/>
    <w:rsid w:val="00E529A4"/>
    <w:rsid w:val="00E531E2"/>
    <w:rsid w:val="00E53A79"/>
    <w:rsid w:val="00E568FE"/>
    <w:rsid w:val="00E56AFD"/>
    <w:rsid w:val="00E6423D"/>
    <w:rsid w:val="00E669CC"/>
    <w:rsid w:val="00E66F42"/>
    <w:rsid w:val="00E67CC1"/>
    <w:rsid w:val="00E67F55"/>
    <w:rsid w:val="00E7005C"/>
    <w:rsid w:val="00E72321"/>
    <w:rsid w:val="00E72365"/>
    <w:rsid w:val="00E729EF"/>
    <w:rsid w:val="00E73980"/>
    <w:rsid w:val="00E74D1A"/>
    <w:rsid w:val="00E752F9"/>
    <w:rsid w:val="00E768AE"/>
    <w:rsid w:val="00E77216"/>
    <w:rsid w:val="00E805E2"/>
    <w:rsid w:val="00E81E22"/>
    <w:rsid w:val="00E825B7"/>
    <w:rsid w:val="00E82AB3"/>
    <w:rsid w:val="00E82AD6"/>
    <w:rsid w:val="00E83706"/>
    <w:rsid w:val="00E8400D"/>
    <w:rsid w:val="00E84358"/>
    <w:rsid w:val="00E843D4"/>
    <w:rsid w:val="00E874DF"/>
    <w:rsid w:val="00E9021D"/>
    <w:rsid w:val="00E92D03"/>
    <w:rsid w:val="00E92EE1"/>
    <w:rsid w:val="00E94DD5"/>
    <w:rsid w:val="00E95A20"/>
    <w:rsid w:val="00E95C37"/>
    <w:rsid w:val="00EA02C4"/>
    <w:rsid w:val="00EA0699"/>
    <w:rsid w:val="00EA2A75"/>
    <w:rsid w:val="00EA3030"/>
    <w:rsid w:val="00EA3DE3"/>
    <w:rsid w:val="00EA7D10"/>
    <w:rsid w:val="00EB1E0D"/>
    <w:rsid w:val="00EB30B3"/>
    <w:rsid w:val="00EB39C4"/>
    <w:rsid w:val="00EB3B0E"/>
    <w:rsid w:val="00EB5AC3"/>
    <w:rsid w:val="00EB66F9"/>
    <w:rsid w:val="00EB6E06"/>
    <w:rsid w:val="00EC09D6"/>
    <w:rsid w:val="00EC571D"/>
    <w:rsid w:val="00EC63DF"/>
    <w:rsid w:val="00ED10E1"/>
    <w:rsid w:val="00ED2466"/>
    <w:rsid w:val="00ED2F7E"/>
    <w:rsid w:val="00ED3159"/>
    <w:rsid w:val="00EE4139"/>
    <w:rsid w:val="00EE4B7F"/>
    <w:rsid w:val="00EF1413"/>
    <w:rsid w:val="00EF141F"/>
    <w:rsid w:val="00EF2D37"/>
    <w:rsid w:val="00EF317E"/>
    <w:rsid w:val="00EF3801"/>
    <w:rsid w:val="00EF3FA9"/>
    <w:rsid w:val="00EF5DBB"/>
    <w:rsid w:val="00EF62E0"/>
    <w:rsid w:val="00EF6DFA"/>
    <w:rsid w:val="00F02377"/>
    <w:rsid w:val="00F02659"/>
    <w:rsid w:val="00F05BB9"/>
    <w:rsid w:val="00F06F01"/>
    <w:rsid w:val="00F07BDC"/>
    <w:rsid w:val="00F11B84"/>
    <w:rsid w:val="00F1265C"/>
    <w:rsid w:val="00F13CE1"/>
    <w:rsid w:val="00F2070D"/>
    <w:rsid w:val="00F21F9A"/>
    <w:rsid w:val="00F300D9"/>
    <w:rsid w:val="00F3074E"/>
    <w:rsid w:val="00F30E78"/>
    <w:rsid w:val="00F31BA4"/>
    <w:rsid w:val="00F31D2F"/>
    <w:rsid w:val="00F3380E"/>
    <w:rsid w:val="00F339D2"/>
    <w:rsid w:val="00F354E0"/>
    <w:rsid w:val="00F35760"/>
    <w:rsid w:val="00F35A3F"/>
    <w:rsid w:val="00F360B4"/>
    <w:rsid w:val="00F361F9"/>
    <w:rsid w:val="00F365D5"/>
    <w:rsid w:val="00F369EB"/>
    <w:rsid w:val="00F41508"/>
    <w:rsid w:val="00F41665"/>
    <w:rsid w:val="00F46D72"/>
    <w:rsid w:val="00F5030B"/>
    <w:rsid w:val="00F50B57"/>
    <w:rsid w:val="00F52019"/>
    <w:rsid w:val="00F52055"/>
    <w:rsid w:val="00F52987"/>
    <w:rsid w:val="00F52CD3"/>
    <w:rsid w:val="00F5557C"/>
    <w:rsid w:val="00F56C9C"/>
    <w:rsid w:val="00F575C4"/>
    <w:rsid w:val="00F62F3F"/>
    <w:rsid w:val="00F6300D"/>
    <w:rsid w:val="00F63D59"/>
    <w:rsid w:val="00F64F10"/>
    <w:rsid w:val="00F659C3"/>
    <w:rsid w:val="00F67795"/>
    <w:rsid w:val="00F67BFD"/>
    <w:rsid w:val="00F71075"/>
    <w:rsid w:val="00F75AAB"/>
    <w:rsid w:val="00F76BF8"/>
    <w:rsid w:val="00F803FD"/>
    <w:rsid w:val="00F80A38"/>
    <w:rsid w:val="00F81887"/>
    <w:rsid w:val="00F81E47"/>
    <w:rsid w:val="00F86EF9"/>
    <w:rsid w:val="00FA4298"/>
    <w:rsid w:val="00FA6FD3"/>
    <w:rsid w:val="00FA71DF"/>
    <w:rsid w:val="00FA7861"/>
    <w:rsid w:val="00FB664A"/>
    <w:rsid w:val="00FB6D1E"/>
    <w:rsid w:val="00FC1CFE"/>
    <w:rsid w:val="00FC23B7"/>
    <w:rsid w:val="00FC34DC"/>
    <w:rsid w:val="00FC4DA8"/>
    <w:rsid w:val="00FC6A8F"/>
    <w:rsid w:val="00FD04F2"/>
    <w:rsid w:val="00FD08F6"/>
    <w:rsid w:val="00FD0929"/>
    <w:rsid w:val="00FD0E8E"/>
    <w:rsid w:val="00FD3378"/>
    <w:rsid w:val="00FD54CD"/>
    <w:rsid w:val="00FD77D0"/>
    <w:rsid w:val="00FE1DD0"/>
    <w:rsid w:val="00FE2137"/>
    <w:rsid w:val="00FE278F"/>
    <w:rsid w:val="00FE7306"/>
    <w:rsid w:val="00FE745D"/>
    <w:rsid w:val="00FF0097"/>
    <w:rsid w:val="00FF0AF6"/>
    <w:rsid w:val="00FF0E47"/>
    <w:rsid w:val="00FF15BB"/>
    <w:rsid w:val="00FF6578"/>
    <w:rsid w:val="00FF6A8C"/>
    <w:rsid w:val="00FF6EF9"/>
    <w:rsid w:val="02A708CC"/>
    <w:rsid w:val="02C357CD"/>
    <w:rsid w:val="02D45050"/>
    <w:rsid w:val="032F5DBB"/>
    <w:rsid w:val="04570043"/>
    <w:rsid w:val="05C621A5"/>
    <w:rsid w:val="06866741"/>
    <w:rsid w:val="07E04712"/>
    <w:rsid w:val="0808001C"/>
    <w:rsid w:val="09866978"/>
    <w:rsid w:val="09CD7409"/>
    <w:rsid w:val="09F2765A"/>
    <w:rsid w:val="0A334D52"/>
    <w:rsid w:val="0B066035"/>
    <w:rsid w:val="0C1E68CB"/>
    <w:rsid w:val="0C60497E"/>
    <w:rsid w:val="0CAB7381"/>
    <w:rsid w:val="0E382E29"/>
    <w:rsid w:val="0EA164F4"/>
    <w:rsid w:val="0F5452B9"/>
    <w:rsid w:val="0F64510D"/>
    <w:rsid w:val="100816B4"/>
    <w:rsid w:val="10A51DDA"/>
    <w:rsid w:val="10AF4BB0"/>
    <w:rsid w:val="115A02CC"/>
    <w:rsid w:val="1261379E"/>
    <w:rsid w:val="144F3C3C"/>
    <w:rsid w:val="154E283C"/>
    <w:rsid w:val="157102B4"/>
    <w:rsid w:val="16287B61"/>
    <w:rsid w:val="16854473"/>
    <w:rsid w:val="16A0109B"/>
    <w:rsid w:val="16EE2EBF"/>
    <w:rsid w:val="170453DF"/>
    <w:rsid w:val="189A16BF"/>
    <w:rsid w:val="191D4068"/>
    <w:rsid w:val="195058F7"/>
    <w:rsid w:val="19894A55"/>
    <w:rsid w:val="1B6B2350"/>
    <w:rsid w:val="1C6903CD"/>
    <w:rsid w:val="1C6D688A"/>
    <w:rsid w:val="1CE131E9"/>
    <w:rsid w:val="1D00588D"/>
    <w:rsid w:val="1D2A6B28"/>
    <w:rsid w:val="1D6F6572"/>
    <w:rsid w:val="1DBB1D8B"/>
    <w:rsid w:val="1E420F2A"/>
    <w:rsid w:val="1F38650F"/>
    <w:rsid w:val="1F500A3B"/>
    <w:rsid w:val="1F563844"/>
    <w:rsid w:val="200069D2"/>
    <w:rsid w:val="205B29F2"/>
    <w:rsid w:val="211A7ABE"/>
    <w:rsid w:val="240B0FEB"/>
    <w:rsid w:val="259A5141"/>
    <w:rsid w:val="266F6CBA"/>
    <w:rsid w:val="26A54688"/>
    <w:rsid w:val="26B62BDB"/>
    <w:rsid w:val="276C38CE"/>
    <w:rsid w:val="2A5621AD"/>
    <w:rsid w:val="2BAC28F6"/>
    <w:rsid w:val="2C0F7CE0"/>
    <w:rsid w:val="2C3A2445"/>
    <w:rsid w:val="2C7A061B"/>
    <w:rsid w:val="2CC025FD"/>
    <w:rsid w:val="2E011181"/>
    <w:rsid w:val="2E150EE2"/>
    <w:rsid w:val="2E9E4558"/>
    <w:rsid w:val="2F8B33D5"/>
    <w:rsid w:val="30A93EC6"/>
    <w:rsid w:val="30DC5712"/>
    <w:rsid w:val="31041FCC"/>
    <w:rsid w:val="320C751D"/>
    <w:rsid w:val="32263770"/>
    <w:rsid w:val="3271608D"/>
    <w:rsid w:val="327A166C"/>
    <w:rsid w:val="35C42453"/>
    <w:rsid w:val="376E5A8C"/>
    <w:rsid w:val="378325B9"/>
    <w:rsid w:val="37A757B2"/>
    <w:rsid w:val="37F1671F"/>
    <w:rsid w:val="37FE01FA"/>
    <w:rsid w:val="38DD5108"/>
    <w:rsid w:val="3990795F"/>
    <w:rsid w:val="39A5085C"/>
    <w:rsid w:val="3A2D3461"/>
    <w:rsid w:val="3A4D4E4D"/>
    <w:rsid w:val="3A707776"/>
    <w:rsid w:val="3B1A47BE"/>
    <w:rsid w:val="3BB50935"/>
    <w:rsid w:val="3CEC288F"/>
    <w:rsid w:val="3CFC1AF8"/>
    <w:rsid w:val="3D0C6BB9"/>
    <w:rsid w:val="3DAB4624"/>
    <w:rsid w:val="3DF6741A"/>
    <w:rsid w:val="3E4B576C"/>
    <w:rsid w:val="3F061C33"/>
    <w:rsid w:val="3FE1564D"/>
    <w:rsid w:val="3FFA32B4"/>
    <w:rsid w:val="40363DA8"/>
    <w:rsid w:val="40576923"/>
    <w:rsid w:val="415C2D25"/>
    <w:rsid w:val="41AB1B48"/>
    <w:rsid w:val="422D13BB"/>
    <w:rsid w:val="42CE4BEE"/>
    <w:rsid w:val="43584744"/>
    <w:rsid w:val="4409676E"/>
    <w:rsid w:val="445A1F29"/>
    <w:rsid w:val="45BD0774"/>
    <w:rsid w:val="461B7E6D"/>
    <w:rsid w:val="464D497E"/>
    <w:rsid w:val="46E55CED"/>
    <w:rsid w:val="47381097"/>
    <w:rsid w:val="479D334B"/>
    <w:rsid w:val="47AE77D9"/>
    <w:rsid w:val="47B962A9"/>
    <w:rsid w:val="47D75BD5"/>
    <w:rsid w:val="47EE159A"/>
    <w:rsid w:val="496B3999"/>
    <w:rsid w:val="49786E48"/>
    <w:rsid w:val="49D02811"/>
    <w:rsid w:val="4ACD663F"/>
    <w:rsid w:val="4B107846"/>
    <w:rsid w:val="4BDE3E16"/>
    <w:rsid w:val="4C1A65A2"/>
    <w:rsid w:val="4C8005C1"/>
    <w:rsid w:val="4DCD3920"/>
    <w:rsid w:val="4DE374C2"/>
    <w:rsid w:val="4E6B10BB"/>
    <w:rsid w:val="4E7A4CD8"/>
    <w:rsid w:val="4E8F5AB3"/>
    <w:rsid w:val="4F424444"/>
    <w:rsid w:val="4F74219C"/>
    <w:rsid w:val="4FE944FC"/>
    <w:rsid w:val="509F2DA4"/>
    <w:rsid w:val="50A1234C"/>
    <w:rsid w:val="51F232D1"/>
    <w:rsid w:val="521E4429"/>
    <w:rsid w:val="527E1EAF"/>
    <w:rsid w:val="532A0F7D"/>
    <w:rsid w:val="53A77BA7"/>
    <w:rsid w:val="53E650F7"/>
    <w:rsid w:val="543449DD"/>
    <w:rsid w:val="54B806E5"/>
    <w:rsid w:val="54F8643A"/>
    <w:rsid w:val="55812554"/>
    <w:rsid w:val="56F806CC"/>
    <w:rsid w:val="56FB16CE"/>
    <w:rsid w:val="57324726"/>
    <w:rsid w:val="578B673F"/>
    <w:rsid w:val="5896752E"/>
    <w:rsid w:val="58AA5865"/>
    <w:rsid w:val="58C83D4C"/>
    <w:rsid w:val="58DA01F0"/>
    <w:rsid w:val="5A626A44"/>
    <w:rsid w:val="5ACE6C5E"/>
    <w:rsid w:val="5D2307A0"/>
    <w:rsid w:val="5E533217"/>
    <w:rsid w:val="5E59732C"/>
    <w:rsid w:val="5E644701"/>
    <w:rsid w:val="5E8B7EA9"/>
    <w:rsid w:val="5EDC2067"/>
    <w:rsid w:val="5F4B77D1"/>
    <w:rsid w:val="5F5604C3"/>
    <w:rsid w:val="60074B98"/>
    <w:rsid w:val="619F0E98"/>
    <w:rsid w:val="61A54FA5"/>
    <w:rsid w:val="61DA154F"/>
    <w:rsid w:val="638B61DA"/>
    <w:rsid w:val="67397DD8"/>
    <w:rsid w:val="683223D2"/>
    <w:rsid w:val="68A77014"/>
    <w:rsid w:val="694632B1"/>
    <w:rsid w:val="69C82F5D"/>
    <w:rsid w:val="69E22BA2"/>
    <w:rsid w:val="6A880D80"/>
    <w:rsid w:val="6AD36C51"/>
    <w:rsid w:val="6AD9467D"/>
    <w:rsid w:val="6AFB0A72"/>
    <w:rsid w:val="6CF94333"/>
    <w:rsid w:val="6FB63AC2"/>
    <w:rsid w:val="701F47E6"/>
    <w:rsid w:val="72563436"/>
    <w:rsid w:val="726A02C3"/>
    <w:rsid w:val="72CC4119"/>
    <w:rsid w:val="72DB2FA3"/>
    <w:rsid w:val="73934A4C"/>
    <w:rsid w:val="76947064"/>
    <w:rsid w:val="779A6C12"/>
    <w:rsid w:val="783E33C3"/>
    <w:rsid w:val="78A05F13"/>
    <w:rsid w:val="78CC4EEE"/>
    <w:rsid w:val="78E27060"/>
    <w:rsid w:val="79B31BC0"/>
    <w:rsid w:val="79F12805"/>
    <w:rsid w:val="7AF91BBF"/>
    <w:rsid w:val="7BD76009"/>
    <w:rsid w:val="7C5B4042"/>
    <w:rsid w:val="7D2B66F4"/>
    <w:rsid w:val="7D943D47"/>
    <w:rsid w:val="7E7A5938"/>
    <w:rsid w:val="7EE006A1"/>
    <w:rsid w:val="7FBC0C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Document Map"/>
    <w:basedOn w:val="1"/>
    <w:link w:val="14"/>
    <w:semiHidden/>
    <w:qFormat/>
    <w:uiPriority w:val="99"/>
    <w:rPr>
      <w:rFonts w:ascii="宋体"/>
      <w:kern w:val="0"/>
      <w:sz w:val="18"/>
      <w:szCs w:val="20"/>
    </w:rPr>
  </w:style>
  <w:style w:type="paragraph" w:styleId="4">
    <w:name w:val="Body Text Indent"/>
    <w:basedOn w:val="1"/>
    <w:qFormat/>
    <w:uiPriority w:val="0"/>
    <w:pPr>
      <w:ind w:left="420" w:leftChars="200"/>
    </w:pPr>
  </w:style>
  <w:style w:type="paragraph" w:styleId="5">
    <w:name w:val="Body Text Indent 2"/>
    <w:basedOn w:val="1"/>
    <w:link w:val="15"/>
    <w:qFormat/>
    <w:uiPriority w:val="99"/>
    <w:pPr>
      <w:adjustRightInd w:val="0"/>
      <w:snapToGrid w:val="0"/>
      <w:spacing w:line="540" w:lineRule="exact"/>
      <w:ind w:firstLine="624"/>
    </w:pPr>
    <w:rPr>
      <w:kern w:val="0"/>
      <w:szCs w:val="20"/>
    </w:rPr>
  </w:style>
  <w:style w:type="paragraph" w:styleId="6">
    <w:name w:val="Balloon Text"/>
    <w:basedOn w:val="1"/>
    <w:link w:val="16"/>
    <w:semiHidden/>
    <w:qFormat/>
    <w:uiPriority w:val="99"/>
    <w:rPr>
      <w:kern w:val="0"/>
      <w:sz w:val="18"/>
      <w:szCs w:val="20"/>
    </w:rPr>
  </w:style>
  <w:style w:type="paragraph" w:styleId="7">
    <w:name w:val="footer"/>
    <w:basedOn w:val="1"/>
    <w:link w:val="17"/>
    <w:qFormat/>
    <w:uiPriority w:val="99"/>
    <w:pPr>
      <w:tabs>
        <w:tab w:val="center" w:pos="4153"/>
        <w:tab w:val="right" w:pos="8306"/>
      </w:tabs>
      <w:snapToGrid w:val="0"/>
      <w:jc w:val="left"/>
    </w:pPr>
    <w:rPr>
      <w:kern w:val="0"/>
      <w:sz w:val="18"/>
      <w:szCs w:val="20"/>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kern w:val="0"/>
      <w:sz w:val="18"/>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2">
    <w:name w:val="Hyperlink"/>
    <w:qFormat/>
    <w:uiPriority w:val="99"/>
    <w:rPr>
      <w:rFonts w:cs="Times New Roman"/>
      <w:color w:val="0000FF"/>
      <w:u w:val="single"/>
    </w:rPr>
  </w:style>
  <w:style w:type="paragraph" w:customStyle="1" w:styleId="13">
    <w:name w:val="Heading2"/>
    <w:next w:val="1"/>
    <w:qFormat/>
    <w:uiPriority w:val="0"/>
    <w:pPr>
      <w:keepNext/>
      <w:keepLines/>
      <w:widowControl w:val="0"/>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14">
    <w:name w:val="文档结构图 Char"/>
    <w:link w:val="3"/>
    <w:semiHidden/>
    <w:qFormat/>
    <w:locked/>
    <w:uiPriority w:val="99"/>
    <w:rPr>
      <w:rFonts w:ascii="宋体" w:hAnsi="Times New Roman" w:eastAsia="宋体"/>
      <w:sz w:val="18"/>
    </w:rPr>
  </w:style>
  <w:style w:type="character" w:customStyle="1" w:styleId="15">
    <w:name w:val="正文文本缩进 2 Char"/>
    <w:link w:val="5"/>
    <w:semiHidden/>
    <w:qFormat/>
    <w:locked/>
    <w:uiPriority w:val="99"/>
    <w:rPr>
      <w:rFonts w:ascii="Times New Roman" w:hAnsi="Times New Roman"/>
      <w:sz w:val="21"/>
    </w:rPr>
  </w:style>
  <w:style w:type="character" w:customStyle="1" w:styleId="16">
    <w:name w:val="批注框文本 Char"/>
    <w:link w:val="6"/>
    <w:semiHidden/>
    <w:qFormat/>
    <w:locked/>
    <w:uiPriority w:val="99"/>
    <w:rPr>
      <w:rFonts w:ascii="Times New Roman" w:hAnsi="Times New Roman" w:eastAsia="宋体"/>
      <w:sz w:val="18"/>
    </w:rPr>
  </w:style>
  <w:style w:type="character" w:customStyle="1" w:styleId="17">
    <w:name w:val="页脚 Char"/>
    <w:link w:val="7"/>
    <w:qFormat/>
    <w:locked/>
    <w:uiPriority w:val="99"/>
    <w:rPr>
      <w:rFonts w:ascii="Times New Roman" w:hAnsi="Times New Roman" w:eastAsia="宋体"/>
      <w:sz w:val="18"/>
    </w:rPr>
  </w:style>
  <w:style w:type="character" w:customStyle="1" w:styleId="18">
    <w:name w:val="页眉 Char"/>
    <w:link w:val="8"/>
    <w:qFormat/>
    <w:locked/>
    <w:uiPriority w:val="99"/>
    <w:rPr>
      <w:rFonts w:ascii="Times New Roman" w:hAnsi="Times New Roman" w:eastAsia="宋体"/>
      <w:sz w:val="18"/>
    </w:rPr>
  </w:style>
  <w:style w:type="paragraph" w:customStyle="1" w:styleId="19">
    <w:name w:val="Char"/>
    <w:basedOn w:val="1"/>
    <w:qFormat/>
    <w:uiPriority w:val="99"/>
    <w:pPr>
      <w:widowControl/>
      <w:spacing w:after="160" w:line="240" w:lineRule="exact"/>
      <w:jc w:val="left"/>
    </w:pPr>
    <w:rPr>
      <w:rFonts w:eastAsia="仿宋_GB2312"/>
      <w:sz w:val="32"/>
      <w:szCs w:val="32"/>
    </w:rPr>
  </w:style>
  <w:style w:type="paragraph" w:customStyle="1" w:styleId="20">
    <w:name w:val="Char Char Char Char"/>
    <w:basedOn w:val="1"/>
    <w:qFormat/>
    <w:uiPriority w:val="99"/>
    <w:rPr>
      <w:rFonts w:ascii="Tahoma" w:hAnsi="Tahoma" w:cs="Tahoma"/>
      <w:sz w:val="24"/>
      <w:szCs w:val="24"/>
    </w:rPr>
  </w:style>
  <w:style w:type="paragraph" w:customStyle="1" w:styleId="21">
    <w:name w:val="Char3"/>
    <w:basedOn w:val="1"/>
    <w:qFormat/>
    <w:uiPriority w:val="99"/>
  </w:style>
  <w:style w:type="paragraph" w:customStyle="1" w:styleId="22">
    <w:name w:val="Char Char Char Char3"/>
    <w:basedOn w:val="3"/>
    <w:qFormat/>
    <w:uiPriority w:val="99"/>
    <w:pPr>
      <w:shd w:val="clear" w:color="auto" w:fill="000080"/>
      <w:adjustRightInd w:val="0"/>
      <w:snapToGrid w:val="0"/>
      <w:spacing w:line="360" w:lineRule="auto"/>
    </w:pPr>
    <w:rPr>
      <w:rFonts w:ascii="Times New Roman"/>
      <w:sz w:val="21"/>
      <w:szCs w:val="21"/>
    </w:rPr>
  </w:style>
  <w:style w:type="paragraph" w:customStyle="1" w:styleId="23">
    <w:name w:val="Char Char Char Char2"/>
    <w:basedOn w:val="1"/>
    <w:qFormat/>
    <w:uiPriority w:val="99"/>
    <w:rPr>
      <w:rFonts w:ascii="Tahoma" w:hAnsi="Tahoma" w:cs="Tahoma"/>
      <w:sz w:val="24"/>
      <w:szCs w:val="24"/>
    </w:rPr>
  </w:style>
  <w:style w:type="paragraph" w:customStyle="1" w:styleId="24">
    <w:name w:val="Char Char Char Char Char Char Char Char Char Char"/>
    <w:basedOn w:val="1"/>
    <w:qFormat/>
    <w:uiPriority w:val="99"/>
    <w:rPr>
      <w:rFonts w:ascii="仿宋_GB2312" w:hAnsi="??" w:eastAsia="仿宋_GB2312" w:cs="仿宋_GB2312"/>
      <w:spacing w:val="15"/>
      <w:sz w:val="28"/>
      <w:szCs w:val="28"/>
    </w:rPr>
  </w:style>
  <w:style w:type="paragraph" w:customStyle="1" w:styleId="25">
    <w:name w:val="Char2"/>
    <w:basedOn w:val="1"/>
    <w:qFormat/>
    <w:uiPriority w:val="99"/>
  </w:style>
  <w:style w:type="paragraph" w:customStyle="1" w:styleId="26">
    <w:name w:val="Char Char Char Char1"/>
    <w:basedOn w:val="1"/>
    <w:qFormat/>
    <w:uiPriority w:val="99"/>
    <w:rPr>
      <w:rFonts w:ascii="Tahoma" w:hAnsi="Tahoma" w:cs="Tahoma"/>
      <w:sz w:val="24"/>
      <w:szCs w:val="24"/>
    </w:rPr>
  </w:style>
  <w:style w:type="paragraph" w:customStyle="1" w:styleId="27">
    <w:name w:val="Char1"/>
    <w:basedOn w:val="1"/>
    <w:qFormat/>
    <w:uiPriority w:val="99"/>
  </w:style>
  <w:style w:type="paragraph" w:customStyle="1" w:styleId="28">
    <w:name w:val="Char4"/>
    <w:basedOn w:val="1"/>
    <w:qFormat/>
    <w:uiPriority w:val="99"/>
  </w:style>
  <w:style w:type="paragraph" w:customStyle="1" w:styleId="29">
    <w:name w:val="Char Char Char Char4"/>
    <w:basedOn w:val="1"/>
    <w:qFormat/>
    <w:uiPriority w:val="99"/>
    <w:rPr>
      <w:rFonts w:ascii="Tahoma" w:hAnsi="Tahoma" w:cs="Tahoma"/>
      <w:sz w:val="24"/>
      <w:szCs w:val="24"/>
    </w:rPr>
  </w:style>
  <w:style w:type="paragraph" w:customStyle="1" w:styleId="30">
    <w:name w:val="Char Char"/>
    <w:basedOn w:val="1"/>
    <w:qFormat/>
    <w:uiPriority w:val="99"/>
    <w:rPr>
      <w:rFonts w:ascii="Tahoma" w:hAnsi="Tahoma" w:cs="Tahoma"/>
      <w:sz w:val="24"/>
      <w:szCs w:val="24"/>
    </w:rPr>
  </w:style>
  <w:style w:type="paragraph" w:customStyle="1" w:styleId="31">
    <w:name w:val="Char Char3 Char Char"/>
    <w:basedOn w:val="1"/>
    <w:qFormat/>
    <w:uiPriority w:val="99"/>
    <w:pPr>
      <w:tabs>
        <w:tab w:val="left" w:pos="360"/>
      </w:tabs>
    </w:pPr>
    <w:rPr>
      <w:sz w:val="24"/>
      <w:szCs w:val="24"/>
    </w:rPr>
  </w:style>
  <w:style w:type="paragraph" w:customStyle="1" w:styleId="32">
    <w:name w:val="Char Char Char Char5"/>
    <w:basedOn w:val="1"/>
    <w:qFormat/>
    <w:uiPriority w:val="99"/>
    <w:rPr>
      <w:rFonts w:ascii="Tahoma" w:hAnsi="Tahoma" w:cs="Tahoma"/>
      <w:sz w:val="24"/>
      <w:szCs w:val="24"/>
    </w:rPr>
  </w:style>
  <w:style w:type="paragraph" w:styleId="33">
    <w:name w:val="List Paragraph"/>
    <w:basedOn w:val="1"/>
    <w:qFormat/>
    <w:uiPriority w:val="99"/>
    <w:pPr>
      <w:ind w:firstLine="420" w:firstLineChars="200"/>
    </w:pPr>
  </w:style>
  <w:style w:type="character" w:customStyle="1" w:styleId="34">
    <w:name w:val="bjh-p"/>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D384E0-42E1-44C5-829A-90D2AA58165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6572</Words>
  <Characters>7223</Characters>
  <Lines>51</Lines>
  <Paragraphs>14</Paragraphs>
  <TotalTime>963</TotalTime>
  <ScaleCrop>false</ScaleCrop>
  <LinksUpToDate>false</LinksUpToDate>
  <CharactersWithSpaces>7227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2021-01-06T01:43:00Z</dcterms:created>
  <dc:creator>ty</dc:creator>
  <cp:lastModifiedBy>好的</cp:lastModifiedBy>
  <cp:lastPrinted>2022-12-26T12:58:00Z</cp:lastPrinted>
  <dcterms:modified xsi:type="dcterms:W3CDTF">2022-12-27T06:31:27Z</dcterms:modified>
  <dc:title>金湖县十四届人大</dc:title>
  <cp:revision>767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8132AE1C691E4A689467FB9E591A251F</vt:lpwstr>
  </property>
</Properties>
</file>