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宋体" w:hAnsi="宋体" w:eastAsia="宋体" w:cs="宋体"/>
          <w:b/>
          <w:bCs/>
          <w:sz w:val="44"/>
          <w:szCs w:val="44"/>
        </w:rPr>
      </w:pPr>
    </w:p>
    <w:p>
      <w:pPr>
        <w:spacing w:line="560" w:lineRule="exact"/>
        <w:jc w:val="center"/>
        <w:rPr>
          <w:rFonts w:ascii="宋体" w:hAnsi="宋体" w:eastAsia="宋体" w:cs="Times New Roman"/>
          <w:b/>
          <w:bCs/>
          <w:sz w:val="44"/>
          <w:szCs w:val="44"/>
        </w:rPr>
      </w:pPr>
      <w:r>
        <w:rPr>
          <w:rFonts w:hint="eastAsia" w:ascii="宋体" w:hAnsi="宋体" w:eastAsia="宋体" w:cs="宋体"/>
          <w:b/>
          <w:bCs/>
          <w:sz w:val="44"/>
          <w:szCs w:val="44"/>
        </w:rPr>
        <w:t>金湖县</w:t>
      </w:r>
      <w:r>
        <w:rPr>
          <w:rFonts w:hint="eastAsia" w:ascii="宋体" w:hAnsi="宋体" w:eastAsia="宋体" w:cs="Times New Roman"/>
          <w:b/>
          <w:bCs/>
          <w:sz w:val="44"/>
          <w:szCs w:val="44"/>
        </w:rPr>
        <w:t>2024-01号</w:t>
      </w:r>
      <w:r>
        <w:rPr>
          <w:rFonts w:ascii="宋体" w:hAnsi="宋体" w:eastAsia="宋体" w:cs="Times New Roman"/>
          <w:b/>
          <w:bCs/>
          <w:sz w:val="44"/>
          <w:szCs w:val="44"/>
        </w:rPr>
        <w:t>土地征收成片开发方案</w:t>
      </w:r>
    </w:p>
    <w:p>
      <w:pPr>
        <w:spacing w:line="560" w:lineRule="exact"/>
        <w:jc w:val="center"/>
        <w:rPr>
          <w:rFonts w:ascii="楷体" w:hAnsi="楷体" w:eastAsia="楷体" w:cs="Times New Roman"/>
          <w:sz w:val="32"/>
          <w:szCs w:val="32"/>
        </w:rPr>
      </w:pPr>
    </w:p>
    <w:p>
      <w:pPr>
        <w:spacing w:line="560" w:lineRule="exact"/>
        <w:jc w:val="center"/>
        <w:rPr>
          <w:rFonts w:ascii="楷体" w:hAnsi="楷体" w:eastAsia="楷体" w:cs="Times New Roman"/>
          <w:sz w:val="28"/>
        </w:rPr>
      </w:pPr>
      <w:r>
        <w:rPr>
          <w:rFonts w:ascii="楷体" w:hAnsi="楷体" w:eastAsia="楷体" w:cs="Times New Roman"/>
          <w:sz w:val="32"/>
          <w:szCs w:val="32"/>
        </w:rPr>
        <w:t>（</w:t>
      </w:r>
      <w:r>
        <w:rPr>
          <w:rFonts w:hint="eastAsia" w:ascii="楷体" w:hAnsi="楷体" w:eastAsia="楷体" w:cs="宋体"/>
          <w:sz w:val="32"/>
          <w:szCs w:val="32"/>
        </w:rPr>
        <w:t>征求意见稿</w:t>
      </w:r>
      <w:r>
        <w:rPr>
          <w:rFonts w:ascii="楷体" w:hAnsi="楷体" w:eastAsia="楷体" w:cs="Times New Roman"/>
          <w:sz w:val="32"/>
          <w:szCs w:val="32"/>
        </w:rPr>
        <w:t>）</w:t>
      </w:r>
    </w:p>
    <w:p>
      <w:pPr>
        <w:spacing w:line="360" w:lineRule="auto"/>
        <w:ind w:firstLine="640" w:firstLineChars="200"/>
        <w:rPr>
          <w:rFonts w:ascii="黑体" w:hAnsi="黑体" w:eastAsia="黑体" w:cs="Times New Roman"/>
          <w:sz w:val="32"/>
          <w:szCs w:val="32"/>
        </w:rPr>
      </w:pPr>
    </w:p>
    <w:p>
      <w:pPr>
        <w:spacing w:line="360" w:lineRule="auto"/>
        <w:ind w:firstLine="640" w:firstLineChars="200"/>
        <w:rPr>
          <w:rFonts w:ascii="黑体" w:hAnsi="黑体" w:eastAsia="黑体" w:cs="Times New Roman"/>
          <w:sz w:val="32"/>
          <w:szCs w:val="32"/>
        </w:rPr>
      </w:pPr>
      <w:r>
        <w:rPr>
          <w:rFonts w:ascii="黑体" w:hAnsi="黑体" w:eastAsia="黑体" w:cs="Times New Roman"/>
          <w:sz w:val="32"/>
          <w:szCs w:val="32"/>
        </w:rPr>
        <w:t>一、编制依据</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1、《中华人民共和国土地管理法》（2019修正版</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2、《自然资源部关于印发＜土地征收成片开发标准〉的通知》</w:t>
      </w:r>
      <w:r>
        <w:rPr>
          <w:rFonts w:hint="eastAsia" w:ascii="Times New Roman" w:hAnsi="Times New Roman" w:eastAsia="仿宋_GB2312" w:cs="Times New Roman"/>
          <w:sz w:val="28"/>
        </w:rPr>
        <w:t>（自然资规〔</w:t>
      </w:r>
      <w:r>
        <w:rPr>
          <w:rFonts w:ascii="Times New Roman" w:hAnsi="Times New Roman" w:eastAsia="仿宋_GB2312" w:cs="Times New Roman"/>
          <w:sz w:val="28"/>
        </w:rPr>
        <w:t>2024〕7号）</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3、《江苏省自然资源厅关于开展土地征收成片开发方案编制工作</w:t>
      </w:r>
      <w:r>
        <w:rPr>
          <w:rFonts w:hint="eastAsia" w:ascii="Times New Roman" w:hAnsi="Times New Roman" w:eastAsia="仿宋_GB2312" w:cs="Times New Roman"/>
          <w:sz w:val="28"/>
        </w:rPr>
        <w:t>的通知》（苏自然资函〔</w:t>
      </w:r>
      <w:r>
        <w:rPr>
          <w:rFonts w:ascii="Times New Roman" w:hAnsi="Times New Roman" w:eastAsia="仿宋_GB2312" w:cs="Times New Roman"/>
          <w:sz w:val="28"/>
        </w:rPr>
        <w:t>2021〕15号）</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4、《江苏省自然资源厅关于加快推进土地征收成片开发方案编制</w:t>
      </w:r>
      <w:r>
        <w:rPr>
          <w:rFonts w:hint="eastAsia" w:ascii="Times New Roman" w:hAnsi="Times New Roman" w:eastAsia="仿宋_GB2312" w:cs="Times New Roman"/>
          <w:sz w:val="28"/>
        </w:rPr>
        <w:t>工作的通知》（苏自然资发〔</w:t>
      </w:r>
      <w:r>
        <w:rPr>
          <w:rFonts w:ascii="Times New Roman" w:hAnsi="Times New Roman" w:eastAsia="仿宋_GB2312" w:cs="Times New Roman"/>
          <w:sz w:val="28"/>
        </w:rPr>
        <w:t>2021〕138号）</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5</w:t>
      </w:r>
      <w:r>
        <w:rPr>
          <w:rFonts w:hint="eastAsia" w:ascii="Times New Roman" w:hAnsi="Times New Roman" w:eastAsia="仿宋_GB2312" w:cs="Times New Roman"/>
          <w:sz w:val="28"/>
        </w:rPr>
        <w:t>、</w:t>
      </w:r>
      <w:r>
        <w:rPr>
          <w:rFonts w:hint="eastAsia" w:ascii="Times New Roman" w:hAnsi="Times New Roman" w:eastAsia="仿宋_GB2312" w:cs="Times New Roman"/>
          <w:sz w:val="28"/>
          <w:lang w:val="en-US" w:eastAsia="zh-CN"/>
        </w:rPr>
        <w:t>《</w:t>
      </w:r>
      <w:r>
        <w:rPr>
          <w:rFonts w:ascii="Times New Roman" w:hAnsi="Times New Roman" w:eastAsia="仿宋_GB2312" w:cs="Times New Roman"/>
          <w:sz w:val="28"/>
        </w:rPr>
        <w:t>省政府关于印发江苏省被征地农民社会保障办法的通知》（苏政发〔2021〕87号）</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6、《省政府关于重新公布江苏省征地区片综合地价最低标准的通知》苏政规</w:t>
      </w:r>
      <w:r>
        <w:rPr>
          <w:rFonts w:ascii="Times New Roman" w:hAnsi="Times New Roman" w:eastAsia="仿宋_GB2312" w:cs="Times New Roman"/>
          <w:sz w:val="28"/>
        </w:rPr>
        <w:t>〔2024〕</w:t>
      </w:r>
      <w:r>
        <w:rPr>
          <w:rFonts w:hint="eastAsia" w:ascii="Times New Roman" w:hAnsi="Times New Roman" w:eastAsia="仿宋_GB2312" w:cs="Times New Roman"/>
          <w:sz w:val="28"/>
        </w:rPr>
        <w:t>1</w:t>
      </w:r>
      <w:r>
        <w:rPr>
          <w:rFonts w:ascii="Times New Roman" w:hAnsi="Times New Roman" w:eastAsia="仿宋_GB2312" w:cs="Times New Roman"/>
          <w:sz w:val="28"/>
        </w:rPr>
        <w:t>2号</w:t>
      </w:r>
      <w:r>
        <w:rPr>
          <w:rFonts w:hint="eastAsia" w:ascii="Times New Roman" w:hAnsi="Times New Roman" w:eastAsia="仿宋_GB2312" w:cs="Times New Roman"/>
          <w:sz w:val="28"/>
          <w:lang w:eastAsia="zh-CN"/>
        </w:rPr>
        <w:t>）</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7、</w:t>
      </w:r>
      <w:bookmarkStart w:id="0" w:name="_Hlk150256702"/>
      <w:r>
        <w:rPr>
          <w:rFonts w:ascii="Times New Roman" w:hAnsi="Times New Roman" w:eastAsia="仿宋_GB2312" w:cs="Times New Roman"/>
          <w:sz w:val="28"/>
        </w:rPr>
        <w:t>《</w:t>
      </w:r>
      <w:r>
        <w:rPr>
          <w:rFonts w:hint="eastAsia" w:ascii="Times New Roman" w:hAnsi="Times New Roman" w:eastAsia="仿宋_GB2312" w:cs="Times New Roman"/>
          <w:sz w:val="28"/>
        </w:rPr>
        <w:t>市政府关于调整征地补偿标准的通知</w:t>
      </w:r>
      <w:r>
        <w:rPr>
          <w:rFonts w:ascii="Times New Roman" w:hAnsi="Times New Roman" w:eastAsia="仿宋_GB2312" w:cs="Times New Roman"/>
          <w:sz w:val="28"/>
        </w:rPr>
        <w:t>》（</w:t>
      </w:r>
      <w:r>
        <w:rPr>
          <w:rFonts w:hint="eastAsia" w:ascii="Times New Roman" w:hAnsi="Times New Roman" w:eastAsia="仿宋_GB2312" w:cs="Times New Roman"/>
          <w:sz w:val="28"/>
        </w:rPr>
        <w:t>淮政发〔</w:t>
      </w:r>
      <w:r>
        <w:rPr>
          <w:rFonts w:ascii="Times New Roman" w:hAnsi="Times New Roman" w:eastAsia="仿宋_GB2312" w:cs="Times New Roman"/>
          <w:sz w:val="28"/>
        </w:rPr>
        <w:t>2011〕104号）；</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8、</w:t>
      </w:r>
      <w:r>
        <w:rPr>
          <w:rFonts w:ascii="Times New Roman" w:hAnsi="Times New Roman" w:eastAsia="仿宋_GB2312" w:cs="Times New Roman"/>
          <w:sz w:val="28"/>
        </w:rPr>
        <w:t>《市政府关于公布</w:t>
      </w:r>
      <w:r>
        <w:rPr>
          <w:rFonts w:hint="eastAsia" w:ascii="Times New Roman" w:hAnsi="Times New Roman" w:eastAsia="仿宋_GB2312" w:cs="Times New Roman"/>
          <w:sz w:val="28"/>
        </w:rPr>
        <w:t>淮安市所辖各县区征地区片综合地价执行标准的通知</w:t>
      </w:r>
      <w:r>
        <w:rPr>
          <w:rFonts w:ascii="Times New Roman" w:hAnsi="Times New Roman" w:eastAsia="仿宋_GB2312" w:cs="Times New Roman"/>
          <w:sz w:val="28"/>
        </w:rPr>
        <w:t>》（</w:t>
      </w:r>
      <w:r>
        <w:rPr>
          <w:rFonts w:hint="eastAsia" w:ascii="Times New Roman" w:hAnsi="Times New Roman" w:eastAsia="仿宋_GB2312" w:cs="Times New Roman"/>
          <w:sz w:val="28"/>
        </w:rPr>
        <w:t>淮政发〔</w:t>
      </w:r>
      <w:r>
        <w:rPr>
          <w:rFonts w:ascii="Times New Roman" w:hAnsi="Times New Roman" w:eastAsia="仿宋_GB2312" w:cs="Times New Roman"/>
          <w:sz w:val="28"/>
        </w:rPr>
        <w:t>2020〕15号）</w:t>
      </w:r>
      <w:bookmarkEnd w:id="0"/>
      <w:r>
        <w:rPr>
          <w:rFonts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9、</w:t>
      </w:r>
      <w:bookmarkStart w:id="1" w:name="_Hlk150256731"/>
      <w:r>
        <w:rPr>
          <w:rFonts w:hint="eastAsia" w:ascii="Times New Roman" w:hAnsi="Times New Roman" w:eastAsia="仿宋_GB2312" w:cs="Times New Roman"/>
          <w:sz w:val="28"/>
        </w:rPr>
        <w:t>《关于公布金湖县所辖各镇（街道）征地区片综合地价执行标准的通知》（金政发〔</w:t>
      </w:r>
      <w:r>
        <w:rPr>
          <w:rFonts w:ascii="Times New Roman" w:hAnsi="Times New Roman" w:eastAsia="仿宋_GB2312" w:cs="Times New Roman"/>
          <w:sz w:val="28"/>
        </w:rPr>
        <w:t>2021〕10号）</w:t>
      </w:r>
      <w:bookmarkEnd w:id="1"/>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11</w:t>
      </w:r>
      <w:r>
        <w:rPr>
          <w:rFonts w:ascii="Times New Roman" w:hAnsi="Times New Roman" w:eastAsia="仿宋_GB2312" w:cs="Times New Roman"/>
          <w:sz w:val="28"/>
        </w:rPr>
        <w:t>、</w:t>
      </w:r>
      <w:r>
        <w:rPr>
          <w:rFonts w:hint="eastAsia" w:ascii="Times New Roman" w:hAnsi="Times New Roman" w:eastAsia="仿宋_GB2312" w:cs="Times New Roman"/>
          <w:sz w:val="28"/>
        </w:rPr>
        <w:t>《金湖县国民经济和社会发展第十四个五年规划和二</w:t>
      </w:r>
      <w:r>
        <w:rPr>
          <w:rFonts w:ascii="Times New Roman" w:hAnsi="Times New Roman" w:eastAsia="仿宋_GB2312" w:cs="Times New Roman"/>
          <w:sz w:val="28"/>
        </w:rPr>
        <w:t>O三五年远景目标纲要</w:t>
      </w:r>
      <w:r>
        <w:rPr>
          <w:rFonts w:hint="eastAsia" w:ascii="仿宋_GB2312" w:hAnsi="仿宋_GB2312" w:eastAsia="仿宋_GB2312" w:cs="仿宋_GB2312"/>
          <w:sz w:val="28"/>
        </w:rPr>
        <w:t>》</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12</w:t>
      </w:r>
      <w:r>
        <w:rPr>
          <w:rFonts w:ascii="Times New Roman" w:hAnsi="Times New Roman" w:eastAsia="仿宋_GB2312" w:cs="Times New Roman"/>
          <w:sz w:val="28"/>
        </w:rPr>
        <w:t>、《</w:t>
      </w:r>
      <w:r>
        <w:rPr>
          <w:rFonts w:hint="eastAsia" w:ascii="Times New Roman" w:hAnsi="Times New Roman" w:eastAsia="仿宋_GB2312" w:cs="Times New Roman"/>
          <w:sz w:val="28"/>
        </w:rPr>
        <w:t>金湖县国土空间总体规划（2</w:t>
      </w:r>
      <w:r>
        <w:rPr>
          <w:rFonts w:ascii="Times New Roman" w:hAnsi="Times New Roman" w:eastAsia="仿宋_GB2312" w:cs="Times New Roman"/>
          <w:sz w:val="28"/>
        </w:rPr>
        <w:t>021-2035</w:t>
      </w:r>
      <w:r>
        <w:rPr>
          <w:rFonts w:hint="eastAsia" w:ascii="Times New Roman" w:hAnsi="Times New Roman" w:eastAsia="仿宋_GB2312" w:cs="Times New Roman"/>
          <w:sz w:val="28"/>
        </w:rPr>
        <w:t>年）》；</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3、《2022年度金湖县预支空间规模指标落地上图方案》</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4</w:t>
      </w:r>
      <w:r>
        <w:rPr>
          <w:rFonts w:hint="eastAsia" w:ascii="Times New Roman" w:hAnsi="Times New Roman" w:eastAsia="仿宋_GB2312" w:cs="Times New Roman"/>
          <w:sz w:val="28"/>
        </w:rPr>
        <w:t>、《金湖县中心城区高铁片区详细规划（</w:t>
      </w:r>
      <w:r>
        <w:rPr>
          <w:rFonts w:ascii="Times New Roman" w:hAnsi="Times New Roman" w:eastAsia="仿宋_GB2312" w:cs="Times New Roman"/>
          <w:sz w:val="28"/>
        </w:rPr>
        <w:t>2024-2035年）</w:t>
      </w:r>
      <w:r>
        <w:rPr>
          <w:rFonts w:hint="eastAsia" w:ascii="Times New Roman" w:hAnsi="Times New Roman" w:eastAsia="仿宋_GB2312" w:cs="Times New Roman"/>
          <w:sz w:val="28"/>
        </w:rPr>
        <w:t>》</w:t>
      </w:r>
      <w:r>
        <w:rPr>
          <w:rFonts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15、</w:t>
      </w:r>
      <w:r>
        <w:rPr>
          <w:rFonts w:hint="eastAsia" w:ascii="Times New Roman" w:hAnsi="Times New Roman" w:eastAsia="仿宋_GB2312" w:cs="Times New Roman"/>
          <w:sz w:val="28"/>
        </w:rPr>
        <w:t>金湖县2</w:t>
      </w:r>
      <w:r>
        <w:rPr>
          <w:rFonts w:ascii="Times New Roman" w:hAnsi="Times New Roman" w:eastAsia="仿宋_GB2312" w:cs="Times New Roman"/>
          <w:sz w:val="28"/>
        </w:rPr>
        <w:t>022</w:t>
      </w:r>
      <w:r>
        <w:rPr>
          <w:rFonts w:hint="eastAsia" w:ascii="Times New Roman" w:hAnsi="Times New Roman" w:eastAsia="仿宋_GB2312" w:cs="Times New Roman"/>
          <w:sz w:val="28"/>
        </w:rPr>
        <w:t>年度国土变更调查成果；</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16、成片开发拟建设项目的相关资料及其他资料</w:t>
      </w:r>
      <w:r>
        <w:rPr>
          <w:rFonts w:hint="eastAsia" w:ascii="Times New Roman" w:hAnsi="Times New Roman" w:eastAsia="仿宋_GB2312" w:cs="Times New Roman"/>
          <w:sz w:val="28"/>
        </w:rPr>
        <w:t>。</w:t>
      </w:r>
    </w:p>
    <w:p>
      <w:pPr>
        <w:spacing w:line="360" w:lineRule="auto"/>
        <w:ind w:firstLine="640" w:firstLineChars="200"/>
        <w:rPr>
          <w:rFonts w:ascii="黑体" w:hAnsi="黑体" w:eastAsia="黑体" w:cs="Times New Roman"/>
          <w:sz w:val="32"/>
          <w:szCs w:val="32"/>
        </w:rPr>
      </w:pPr>
      <w:r>
        <w:rPr>
          <w:rFonts w:ascii="黑体" w:hAnsi="黑体" w:eastAsia="黑体" w:cs="Times New Roman"/>
          <w:sz w:val="32"/>
          <w:szCs w:val="32"/>
        </w:rPr>
        <w:t>二、基本情况</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本方案成片开发总计</w:t>
      </w:r>
      <w:r>
        <w:rPr>
          <w:rFonts w:hint="eastAsia" w:ascii="Times New Roman" w:hAnsi="Times New Roman" w:eastAsia="仿宋_GB2312" w:cs="Times New Roman"/>
          <w:sz w:val="28"/>
        </w:rPr>
        <w:t>2</w:t>
      </w:r>
      <w:r>
        <w:rPr>
          <w:rFonts w:ascii="Times New Roman" w:hAnsi="Times New Roman" w:eastAsia="仿宋_GB2312" w:cs="Times New Roman"/>
          <w:sz w:val="28"/>
        </w:rPr>
        <w:t>个片区，</w:t>
      </w:r>
      <w:r>
        <w:rPr>
          <w:rFonts w:hint="eastAsia" w:ascii="Times New Roman" w:hAnsi="Times New Roman" w:eastAsia="仿宋_GB2312" w:cs="Times New Roman"/>
          <w:sz w:val="28"/>
        </w:rPr>
        <w:t>均位于戴楼街道，</w:t>
      </w:r>
      <w:r>
        <w:rPr>
          <w:rFonts w:ascii="Times New Roman" w:hAnsi="Times New Roman" w:eastAsia="仿宋_GB2312" w:cs="Times New Roman"/>
          <w:sz w:val="28"/>
        </w:rPr>
        <w:t>成片开发</w:t>
      </w:r>
      <w:r>
        <w:rPr>
          <w:rFonts w:hint="eastAsia" w:ascii="Times New Roman" w:hAnsi="Times New Roman" w:eastAsia="仿宋_GB2312" w:cs="Times New Roman"/>
          <w:sz w:val="28"/>
        </w:rPr>
        <w:t>片区</w:t>
      </w:r>
      <w:r>
        <w:rPr>
          <w:rFonts w:ascii="Times New Roman" w:hAnsi="Times New Roman" w:eastAsia="仿宋_GB2312" w:cs="Times New Roman"/>
          <w:sz w:val="28"/>
        </w:rPr>
        <w:t>总面积124.5842</w:t>
      </w:r>
      <w:r>
        <w:rPr>
          <w:rFonts w:hint="eastAsia" w:ascii="Times New Roman" w:hAnsi="Times New Roman" w:eastAsia="仿宋_GB2312" w:cs="Times New Roman"/>
          <w:sz w:val="28"/>
        </w:rPr>
        <w:t>公顷</w:t>
      </w:r>
      <w:r>
        <w:rPr>
          <w:rFonts w:ascii="Times New Roman" w:hAnsi="Times New Roman" w:eastAsia="仿宋_GB2312" w:cs="Times New Roman"/>
          <w:sz w:val="28"/>
        </w:rPr>
        <w:t>（成片开发范围以最终批复为准）。</w:t>
      </w:r>
      <w:r>
        <w:rPr>
          <w:rFonts w:hint="eastAsia" w:ascii="Times New Roman" w:hAnsi="Times New Roman" w:eastAsia="仿宋_GB2312" w:cs="Times New Roman"/>
          <w:sz w:val="28"/>
        </w:rPr>
        <w:t>外部水、电、气、热、通讯和消防基本具备地块开发条件。</w:t>
      </w:r>
    </w:p>
    <w:p>
      <w:pPr>
        <w:spacing w:line="360" w:lineRule="auto"/>
        <w:ind w:firstLine="640" w:firstLineChars="200"/>
        <w:rPr>
          <w:rFonts w:ascii="黑体" w:hAnsi="黑体" w:eastAsia="黑体" w:cs="Times New Roman"/>
          <w:sz w:val="32"/>
          <w:szCs w:val="32"/>
        </w:rPr>
      </w:pPr>
      <w:r>
        <w:rPr>
          <w:rFonts w:ascii="黑体" w:hAnsi="黑体" w:eastAsia="黑体" w:cs="Times New Roman"/>
          <w:sz w:val="32"/>
          <w:szCs w:val="32"/>
        </w:rPr>
        <w:t>三、成片开发的必要性</w:t>
      </w:r>
    </w:p>
    <w:p>
      <w:pPr>
        <w:spacing w:line="360" w:lineRule="auto"/>
        <w:ind w:firstLine="560" w:firstLineChars="200"/>
        <w:rPr>
          <w:rFonts w:ascii="Times New Roman" w:hAnsi="Times New Roman" w:eastAsia="仿宋_GB2312" w:cs="Times New Roman"/>
          <w:sz w:val="28"/>
        </w:rPr>
      </w:pPr>
      <w:bookmarkStart w:id="3" w:name="_GoBack"/>
      <w:r>
        <w:rPr>
          <w:rFonts w:hint="eastAsia" w:ascii="Times New Roman" w:hAnsi="Times New Roman" w:eastAsia="仿宋_GB2312" w:cs="Times New Roman"/>
          <w:sz w:val="28"/>
        </w:rPr>
        <w:t>依据《金湖县国民经济和社会发展第十四个五年规划和二</w:t>
      </w:r>
      <w:r>
        <w:rPr>
          <w:rFonts w:ascii="Times New Roman" w:hAnsi="Times New Roman" w:eastAsia="仿宋_GB2312" w:cs="Times New Roman"/>
          <w:sz w:val="28"/>
        </w:rPr>
        <w:t>O三五年远景目标纲要</w:t>
      </w:r>
      <w:r>
        <w:rPr>
          <w:rFonts w:hint="eastAsia" w:ascii="Times New Roman" w:hAnsi="Times New Roman" w:eastAsia="仿宋_GB2312" w:cs="Times New Roman"/>
          <w:sz w:val="28"/>
        </w:rPr>
        <w:t>》，金湖县</w:t>
      </w:r>
      <w:r>
        <w:rPr>
          <w:rFonts w:hint="eastAsia" w:ascii="Times New Roman" w:hAnsi="Times New Roman" w:eastAsia="仿宋_GB2312" w:cs="Times New Roman"/>
          <w:sz w:val="28"/>
          <w:lang w:eastAsia="zh-CN"/>
        </w:rPr>
        <w:t>在</w:t>
      </w:r>
      <w:r>
        <w:rPr>
          <w:rFonts w:hint="eastAsia" w:ascii="Times New Roman" w:hAnsi="Times New Roman" w:eastAsia="仿宋_GB2312" w:cs="Times New Roman"/>
          <w:sz w:val="28"/>
        </w:rPr>
        <w:t>“厚植高端装备制造业，做大做强新材料产业，积极培育大健康产业，加大未来产业布局力度，着力夯实实体经济，推进经济社会高质量发展”的理念指引下，结合城市空间布局，聚焦重点区域、重点板块，明确各功能区的发展导向，推进县</w:t>
      </w:r>
      <w:bookmarkEnd w:id="3"/>
      <w:r>
        <w:rPr>
          <w:rFonts w:hint="eastAsia" w:ascii="Times New Roman" w:hAnsi="Times New Roman" w:eastAsia="仿宋_GB2312" w:cs="Times New Roman"/>
          <w:sz w:val="28"/>
        </w:rPr>
        <w:t>域架构提升</w:t>
      </w:r>
      <w:r>
        <w:rPr>
          <w:rFonts w:ascii="Times New Roman" w:hAnsi="Times New Roman" w:eastAsia="仿宋_GB2312" w:cs="Times New Roman"/>
          <w:sz w:val="28"/>
        </w:rPr>
        <w:t>。</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成片开发是针对以上发展指导理念的贯彻实施，通过土地的成片开发，可以统筹规划片区资源要素，协调开发和保护、经济与文化，生产、生活和生态等多种需求的功能配置，实现土地综合利用和高效利用，促进区域协调发展。</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通过成片开发的编制，金湖县政府坚持新发展理念，以人民为中心，设立等级合理、分布均衡的社会公共服务网络，充分保障原有居民的社会利益，改善居民生活水平，促进城市健康发展、人民安居乐业。</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四、公益性用地情况</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片区内公益性用地主要包括公共管理与公共服务用地、绿地与广场用地、道路与交通设施用地、公用设施用地等。本次方案共划定</w:t>
      </w:r>
      <w:r>
        <w:rPr>
          <w:rFonts w:ascii="Times New Roman" w:hAnsi="Times New Roman" w:eastAsia="仿宋_GB2312" w:cs="Times New Roman"/>
          <w:sz w:val="28"/>
        </w:rPr>
        <w:t>2个开发片区</w:t>
      </w:r>
      <w:r>
        <w:rPr>
          <w:rFonts w:hint="eastAsia" w:ascii="Times New Roman" w:hAnsi="Times New Roman" w:eastAsia="仿宋_GB2312" w:cs="Times New Roman"/>
          <w:sz w:val="28"/>
        </w:rPr>
        <w:t>，方案内工业主导型片区内部公益性用地比例均达到</w:t>
      </w:r>
      <w:r>
        <w:rPr>
          <w:rFonts w:ascii="Times New Roman" w:hAnsi="Times New Roman" w:eastAsia="仿宋_GB2312" w:cs="Times New Roman"/>
          <w:sz w:val="28"/>
        </w:rPr>
        <w:t>25％</w:t>
      </w:r>
      <w:r>
        <w:rPr>
          <w:rFonts w:hint="eastAsia" w:ascii="Times New Roman" w:hAnsi="Times New Roman" w:eastAsia="仿宋_GB2312" w:cs="Times New Roman"/>
          <w:sz w:val="28"/>
        </w:rPr>
        <w:t>以上</w:t>
      </w:r>
      <w:r>
        <w:rPr>
          <w:rFonts w:ascii="Times New Roman" w:hAnsi="Times New Roman" w:eastAsia="仿宋_GB2312" w:cs="Times New Roman"/>
          <w:sz w:val="28"/>
        </w:rPr>
        <w:t>，</w:t>
      </w:r>
      <w:r>
        <w:rPr>
          <w:rFonts w:hint="eastAsia" w:ascii="Times New Roman" w:hAnsi="Times New Roman" w:eastAsia="仿宋_GB2312" w:cs="Times New Roman"/>
          <w:sz w:val="28"/>
        </w:rPr>
        <w:t>且工业仓储用地比例也达到6</w:t>
      </w:r>
      <w:r>
        <w:rPr>
          <w:rFonts w:ascii="Times New Roman" w:hAnsi="Times New Roman" w:eastAsia="仿宋_GB2312" w:cs="Times New Roman"/>
          <w:sz w:val="28"/>
        </w:rPr>
        <w:t>0</w:t>
      </w:r>
      <w:r>
        <w:rPr>
          <w:rFonts w:hint="eastAsia" w:ascii="Times New Roman" w:hAnsi="Times New Roman" w:eastAsia="仿宋_GB2312" w:cs="Times New Roman"/>
          <w:sz w:val="28"/>
        </w:rPr>
        <w:t>%以上，</w:t>
      </w:r>
      <w:r>
        <w:rPr>
          <w:rFonts w:ascii="Times New Roman" w:hAnsi="Times New Roman" w:eastAsia="仿宋_GB2312" w:cs="Times New Roman"/>
          <w:sz w:val="28"/>
        </w:rPr>
        <w:t>非工业主导型片区内部公益</w:t>
      </w:r>
      <w:r>
        <w:rPr>
          <w:rFonts w:hint="eastAsia" w:ascii="Times New Roman" w:hAnsi="Times New Roman" w:eastAsia="仿宋_GB2312" w:cs="Times New Roman"/>
          <w:sz w:val="28"/>
        </w:rPr>
        <w:t>性用地比例均达到</w:t>
      </w:r>
      <w:r>
        <w:rPr>
          <w:rFonts w:ascii="Times New Roman" w:hAnsi="Times New Roman" w:eastAsia="仿宋_GB2312" w:cs="Times New Roman"/>
          <w:sz w:val="28"/>
        </w:rPr>
        <w:t>40％</w:t>
      </w:r>
      <w:r>
        <w:rPr>
          <w:rFonts w:hint="eastAsia" w:ascii="Times New Roman" w:hAnsi="Times New Roman" w:eastAsia="仿宋_GB2312" w:cs="Times New Roman"/>
          <w:sz w:val="28"/>
        </w:rPr>
        <w:t>以上</w:t>
      </w:r>
      <w:r>
        <w:rPr>
          <w:rFonts w:ascii="Times New Roman" w:hAnsi="Times New Roman" w:eastAsia="仿宋_GB2312" w:cs="Times New Roman"/>
          <w:sz w:val="28"/>
        </w:rPr>
        <w:t>，</w:t>
      </w:r>
      <w:r>
        <w:rPr>
          <w:rFonts w:hint="eastAsia" w:ascii="Times New Roman" w:hAnsi="Times New Roman" w:eastAsia="仿宋_GB2312" w:cs="Times New Roman"/>
          <w:sz w:val="28"/>
        </w:rPr>
        <w:t>均</w:t>
      </w:r>
      <w:r>
        <w:rPr>
          <w:rFonts w:ascii="Times New Roman" w:hAnsi="Times New Roman" w:eastAsia="仿宋_GB2312" w:cs="Times New Roman"/>
          <w:sz w:val="28"/>
        </w:rPr>
        <w:t>满足《江苏省自然资源厅关于加快推进土</w:t>
      </w:r>
      <w:r>
        <w:rPr>
          <w:rFonts w:hint="eastAsia" w:ascii="Times New Roman" w:hAnsi="Times New Roman" w:eastAsia="仿宋_GB2312" w:cs="Times New Roman"/>
          <w:sz w:val="28"/>
        </w:rPr>
        <w:t>地征收成片开发方案编制工作的通知》（苏自然资发〔</w:t>
      </w:r>
      <w:r>
        <w:rPr>
          <w:rFonts w:ascii="Times New Roman" w:hAnsi="Times New Roman" w:eastAsia="仿宋_GB2312" w:cs="Times New Roman"/>
          <w:sz w:val="28"/>
        </w:rPr>
        <w:t>2021〕138号）</w:t>
      </w:r>
      <w:r>
        <w:rPr>
          <w:rFonts w:hint="eastAsia" w:ascii="Times New Roman" w:hAnsi="Times New Roman" w:eastAsia="仿宋_GB2312" w:cs="Times New Roman"/>
          <w:sz w:val="28"/>
        </w:rPr>
        <w:t>中对成片开发片区公益性用地比例的规定。</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五、规划符合情况</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1、本方案已</w:t>
      </w:r>
      <w:r>
        <w:rPr>
          <w:rFonts w:hint="eastAsia" w:ascii="Times New Roman" w:hAnsi="Times New Roman" w:eastAsia="仿宋_GB2312" w:cs="Times New Roman"/>
          <w:sz w:val="28"/>
        </w:rPr>
        <w:t>纳入金湖县国民经济和社会发展年度计划，</w:t>
      </w:r>
      <w:r>
        <w:rPr>
          <w:rFonts w:ascii="Times New Roman" w:hAnsi="Times New Roman" w:eastAsia="仿宋_GB2312" w:cs="Times New Roman"/>
          <w:sz w:val="28"/>
        </w:rPr>
        <w:t>符合国民经济和社会发展规划的发展定位</w:t>
      </w:r>
      <w:r>
        <w:rPr>
          <w:rFonts w:hint="eastAsia" w:ascii="Times New Roman" w:hAnsi="Times New Roman" w:eastAsia="仿宋_GB2312" w:cs="Times New Roman"/>
          <w:sz w:val="28"/>
        </w:rPr>
        <w:t>和</w:t>
      </w:r>
      <w:r>
        <w:rPr>
          <w:rFonts w:ascii="Times New Roman" w:hAnsi="Times New Roman" w:eastAsia="仿宋_GB2312" w:cs="Times New Roman"/>
          <w:sz w:val="28"/>
        </w:rPr>
        <w:t>要求</w:t>
      </w:r>
      <w:r>
        <w:rPr>
          <w:rFonts w:hint="eastAsia" w:ascii="Times New Roman" w:hAnsi="Times New Roman" w:eastAsia="仿宋_GB2312" w:cs="Times New Roman"/>
          <w:sz w:val="28"/>
        </w:rPr>
        <w:t>。</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2、本次土地征收成片开发范围</w:t>
      </w:r>
      <w:r>
        <w:rPr>
          <w:rFonts w:hint="eastAsia" w:ascii="Times New Roman" w:hAnsi="Times New Roman" w:eastAsia="仿宋_GB2312" w:cs="Times New Roman"/>
          <w:sz w:val="28"/>
        </w:rPr>
        <w:t>位于《金湖县国土空间总体规划（</w:t>
      </w:r>
      <w:r>
        <w:rPr>
          <w:rFonts w:ascii="Times New Roman" w:hAnsi="Times New Roman" w:eastAsia="仿宋_GB2312" w:cs="Times New Roman"/>
          <w:sz w:val="28"/>
        </w:rPr>
        <w:t>2021-2035）</w:t>
      </w:r>
      <w:r>
        <w:rPr>
          <w:rFonts w:hint="eastAsia" w:ascii="Times New Roman" w:hAnsi="Times New Roman" w:eastAsia="仿宋_GB2312" w:cs="Times New Roman"/>
          <w:sz w:val="28"/>
        </w:rPr>
        <w:t>》确定的城镇建设用地范围内，符合《金湖县国土空间总体规划（</w:t>
      </w:r>
      <w:r>
        <w:rPr>
          <w:rFonts w:ascii="Times New Roman" w:hAnsi="Times New Roman" w:eastAsia="仿宋_GB2312" w:cs="Times New Roman"/>
          <w:sz w:val="28"/>
        </w:rPr>
        <w:t>2021-2035）》</w:t>
      </w:r>
      <w:r>
        <w:rPr>
          <w:rFonts w:hint="eastAsia" w:ascii="Times New Roman" w:hAnsi="Times New Roman" w:eastAsia="仿宋_GB2312" w:cs="Times New Roman"/>
          <w:sz w:val="28"/>
        </w:rPr>
        <w:t>。</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3、根据各片区</w:t>
      </w:r>
      <w:r>
        <w:rPr>
          <w:rFonts w:hint="eastAsia" w:ascii="Times New Roman" w:hAnsi="Times New Roman" w:eastAsia="仿宋_GB2312" w:cs="Times New Roman"/>
          <w:sz w:val="28"/>
        </w:rPr>
        <w:t>涉及的</w:t>
      </w:r>
      <w:r>
        <w:rPr>
          <w:rFonts w:ascii="Times New Roman" w:hAnsi="Times New Roman" w:eastAsia="仿宋_GB2312" w:cs="Times New Roman"/>
          <w:sz w:val="28"/>
        </w:rPr>
        <w:t>详细规划，片区规划地类包括工业</w:t>
      </w:r>
      <w:r>
        <w:rPr>
          <w:rFonts w:hint="eastAsia" w:ascii="Times New Roman" w:hAnsi="Times New Roman" w:eastAsia="仿宋_GB2312" w:cs="Times New Roman"/>
          <w:sz w:val="28"/>
        </w:rPr>
        <w:t>用地、道路与交通设施用地、商业服务业设施用地、绿地与广场用地、公用设施用地等，本方案符合各片区所属的详细规划。</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六、永久基本农田及生态保护情况</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本片区成片开发范围内不涉及永久基本农田和生态保护红线。</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七、拟建设项目、开发时序和实施计划</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成片开发范围内拟建设项目以工业项目、商业项目、仓储项目为主，配套建设公共基础设施等项目，计划在</w:t>
      </w:r>
      <w:r>
        <w:rPr>
          <w:rFonts w:ascii="Times New Roman" w:hAnsi="Times New Roman" w:eastAsia="仿宋_GB2312" w:cs="Times New Roman"/>
          <w:sz w:val="28"/>
        </w:rPr>
        <w:t>2025至2027年分批次启动土地征收工作。</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八、选址适宜性</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项目选址未见现状地质灾害，未处于地质灾害易发区。</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九、落实被征地群众安置补偿、维护群众利益的计划措施</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1、征地补偿标准：</w:t>
      </w:r>
      <w:r>
        <w:rPr>
          <w:rFonts w:hint="eastAsia" w:ascii="Times New Roman" w:hAnsi="Times New Roman" w:eastAsia="仿宋_GB2312" w:cs="Times New Roman"/>
          <w:sz w:val="28"/>
        </w:rPr>
        <w:t>按</w:t>
      </w:r>
      <w:r>
        <w:rPr>
          <w:rFonts w:ascii="Times New Roman" w:hAnsi="Times New Roman" w:eastAsia="仿宋_GB2312" w:cs="Times New Roman"/>
          <w:sz w:val="28"/>
        </w:rPr>
        <w:t>照</w:t>
      </w:r>
      <w:bookmarkStart w:id="2" w:name="_Hlk150096949"/>
      <w:r>
        <w:rPr>
          <w:rFonts w:hint="eastAsia" w:ascii="Times New Roman" w:hAnsi="Times New Roman" w:eastAsia="仿宋_GB2312" w:cs="Times New Roman"/>
          <w:sz w:val="28"/>
        </w:rPr>
        <w:t>《省政府关于重新公布江苏省征地区片综合地价最低标准的通知》苏政规〔</w:t>
      </w:r>
      <w:r>
        <w:rPr>
          <w:rFonts w:ascii="Times New Roman" w:hAnsi="Times New Roman" w:eastAsia="仿宋_GB2312" w:cs="Times New Roman"/>
          <w:sz w:val="28"/>
        </w:rPr>
        <w:t>2024〕12号</w:t>
      </w:r>
      <w:r>
        <w:rPr>
          <w:rFonts w:hint="eastAsia" w:ascii="Times New Roman" w:hAnsi="Times New Roman" w:eastAsia="仿宋_GB2312" w:cs="Times New Roman"/>
          <w:sz w:val="28"/>
          <w:lang w:eastAsia="zh-CN"/>
        </w:rPr>
        <w:t>）</w:t>
      </w:r>
      <w:bookmarkEnd w:id="2"/>
      <w:r>
        <w:rPr>
          <w:rFonts w:hint="eastAsia" w:ascii="Times New Roman" w:hAnsi="Times New Roman" w:eastAsia="仿宋_GB2312" w:cs="Times New Roman"/>
          <w:sz w:val="28"/>
        </w:rPr>
        <w:t>、《市政府关于重新公布淮安市所辖各县区征地区片综合地价执行标准的通知》（淮政发〔</w:t>
      </w:r>
      <w:r>
        <w:rPr>
          <w:rFonts w:ascii="Times New Roman" w:hAnsi="Times New Roman" w:eastAsia="仿宋_GB2312" w:cs="Times New Roman"/>
          <w:sz w:val="28"/>
        </w:rPr>
        <w:t>2023〕4号）</w:t>
      </w:r>
      <w:r>
        <w:rPr>
          <w:rFonts w:hint="eastAsia" w:ascii="Times New Roman" w:hAnsi="Times New Roman" w:eastAsia="仿宋_GB2312" w:cs="Times New Roman"/>
          <w:sz w:val="28"/>
        </w:rPr>
        <w:t>和《关于调整</w:t>
      </w:r>
      <w:r>
        <w:rPr>
          <w:rFonts w:ascii="Times New Roman" w:hAnsi="Times New Roman" w:eastAsia="仿宋_GB2312" w:cs="Times New Roman"/>
          <w:sz w:val="28"/>
        </w:rPr>
        <w:t>2024年被征地农民社会保障费用筹资标准的通知》（淮政发〔2024〕4号）的标准执</w:t>
      </w:r>
      <w:r>
        <w:rPr>
          <w:rFonts w:hint="eastAsia" w:ascii="Times New Roman" w:hAnsi="Times New Roman" w:eastAsia="仿宋_GB2312" w:cs="Times New Roman"/>
          <w:sz w:val="28"/>
        </w:rPr>
        <w:t>行。</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2、征地安置：</w:t>
      </w:r>
      <w:r>
        <w:rPr>
          <w:rFonts w:hint="eastAsia" w:ascii="Times New Roman" w:hAnsi="Times New Roman" w:eastAsia="仿宋_GB2312" w:cs="Times New Roman"/>
          <w:sz w:val="28"/>
        </w:rPr>
        <w:t>严格落实经公告确定后的征地安置补偿方案，按法律规定签订征地补偿协议，落实安置补偿费用、社会保障等，妥善解决被征地农民的生产和生活保障问题。</w:t>
      </w:r>
    </w:p>
    <w:p>
      <w:pPr>
        <w:spacing w:line="360" w:lineRule="auto"/>
        <w:ind w:firstLine="560" w:firstLineChars="200"/>
        <w:rPr>
          <w:rFonts w:ascii="仿宋_GB2312" w:hAnsi="Times New Roman" w:eastAsia="仿宋_GB2312" w:cs="Times New Roman"/>
          <w:sz w:val="28"/>
        </w:rPr>
      </w:pPr>
      <w:r>
        <w:rPr>
          <w:rFonts w:ascii="Times New Roman" w:hAnsi="Times New Roman" w:eastAsia="仿宋_GB2312" w:cs="Times New Roman"/>
          <w:sz w:val="28"/>
        </w:rPr>
        <w:t>3、征地程序：</w:t>
      </w:r>
      <w:r>
        <w:rPr>
          <w:rFonts w:hint="eastAsia" w:ascii="Times New Roman" w:hAnsi="Times New Roman" w:eastAsia="仿宋_GB2312" w:cs="Times New Roman"/>
          <w:sz w:val="28"/>
        </w:rPr>
        <w:t>严格</w:t>
      </w:r>
      <w:r>
        <w:rPr>
          <w:rFonts w:ascii="Times New Roman" w:hAnsi="Times New Roman" w:eastAsia="仿宋_GB2312" w:cs="Times New Roman"/>
          <w:sz w:val="28"/>
        </w:rPr>
        <w:t>落实相关法律法规</w:t>
      </w:r>
      <w:r>
        <w:rPr>
          <w:rFonts w:hint="eastAsia" w:ascii="Times New Roman" w:hAnsi="Times New Roman" w:eastAsia="仿宋_GB2312" w:cs="Times New Roman"/>
          <w:sz w:val="28"/>
        </w:rPr>
        <w:t>，按</w:t>
      </w:r>
      <w:r>
        <w:rPr>
          <w:rFonts w:hint="eastAsia" w:ascii="仿宋_GB2312" w:hAnsi="Times New Roman" w:eastAsia="仿宋_GB2312" w:cs="Times New Roman"/>
          <w:sz w:val="28"/>
        </w:rPr>
        <w:t>规定发布征收预公告</w:t>
      </w:r>
      <w:r>
        <w:rPr>
          <w:rFonts w:hint="eastAsia" w:ascii="Times New Roman" w:hAnsi="Times New Roman" w:eastAsia="仿宋_GB2312" w:cs="Times New Roman"/>
          <w:sz w:val="28"/>
        </w:rPr>
        <w:t>，</w:t>
      </w:r>
      <w:r>
        <w:rPr>
          <w:rFonts w:ascii="Times New Roman" w:hAnsi="Times New Roman" w:eastAsia="仿宋_GB2312" w:cs="Times New Roman"/>
          <w:sz w:val="28"/>
        </w:rPr>
        <w:t>开展拟征收土地现状调查和社会稳定风险评估</w:t>
      </w:r>
      <w:r>
        <w:rPr>
          <w:rFonts w:hint="eastAsia" w:ascii="Times New Roman" w:hAnsi="Times New Roman" w:eastAsia="仿宋_GB2312" w:cs="Times New Roman"/>
          <w:sz w:val="28"/>
        </w:rPr>
        <w:t>，</w:t>
      </w:r>
      <w:r>
        <w:rPr>
          <w:rFonts w:ascii="Times New Roman" w:hAnsi="Times New Roman" w:eastAsia="仿宋_GB2312" w:cs="Times New Roman"/>
          <w:sz w:val="28"/>
        </w:rPr>
        <w:t>拟定征地补偿安置方案并按规定进行公示</w:t>
      </w:r>
      <w:r>
        <w:rPr>
          <w:rFonts w:hint="eastAsia" w:ascii="Times New Roman" w:hAnsi="Times New Roman" w:eastAsia="仿宋_GB2312" w:cs="Times New Roman"/>
          <w:sz w:val="28"/>
        </w:rPr>
        <w:t>听证，严格按程序签订征地补偿协议。征前相关工作完成后，方可提出征收申请，经有批准权部门批准后发布征收土地公告。</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十、土地利用效益评估</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（一）</w:t>
      </w:r>
      <w:r>
        <w:rPr>
          <w:rFonts w:ascii="Times New Roman" w:hAnsi="Times New Roman" w:eastAsia="仿宋_GB2312" w:cs="Times New Roman"/>
          <w:sz w:val="28"/>
        </w:rPr>
        <w:t>土地利用效益：有效整合区域内土地资源，促进土地资源</w:t>
      </w:r>
      <w:r>
        <w:rPr>
          <w:rFonts w:hint="eastAsia" w:ascii="Times New Roman" w:hAnsi="Times New Roman" w:eastAsia="仿宋_GB2312" w:cs="Times New Roman"/>
          <w:sz w:val="28"/>
        </w:rPr>
        <w:t>要素的统筹利用，提升土地利用效率。</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（二）</w:t>
      </w:r>
      <w:r>
        <w:rPr>
          <w:rFonts w:ascii="Times New Roman" w:hAnsi="Times New Roman" w:eastAsia="仿宋_GB2312" w:cs="Times New Roman"/>
          <w:sz w:val="28"/>
        </w:rPr>
        <w:t>经济效益：成片开发片区的建设，有利于促进片区形象的</w:t>
      </w:r>
      <w:r>
        <w:rPr>
          <w:rFonts w:hint="eastAsia" w:ascii="Times New Roman" w:hAnsi="Times New Roman" w:eastAsia="仿宋_GB2312" w:cs="Times New Roman"/>
          <w:sz w:val="28"/>
        </w:rPr>
        <w:t>提升和城市功能的完善，为广大居民提供宜居的生活空间，同时可带动区域土地资源价值的提升。</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（三）</w:t>
      </w:r>
      <w:r>
        <w:rPr>
          <w:rFonts w:ascii="Times New Roman" w:hAnsi="Times New Roman" w:eastAsia="仿宋_GB2312" w:cs="Times New Roman"/>
          <w:sz w:val="28"/>
        </w:rPr>
        <w:t>社会效益：有利于完善公共服务设施与基础设施、增加就</w:t>
      </w:r>
      <w:r>
        <w:rPr>
          <w:rFonts w:hint="eastAsia" w:ascii="Times New Roman" w:hAnsi="Times New Roman" w:eastAsia="仿宋_GB2312" w:cs="Times New Roman"/>
          <w:sz w:val="28"/>
        </w:rPr>
        <w:t>业岗位、提高就业率，保障公共利益。</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（四）</w:t>
      </w:r>
      <w:r>
        <w:rPr>
          <w:rFonts w:ascii="Times New Roman" w:hAnsi="Times New Roman" w:eastAsia="仿宋_GB2312" w:cs="Times New Roman"/>
          <w:sz w:val="28"/>
        </w:rPr>
        <w:t>生态效益：有利于促进经开区生态资源整合、生态功能强</w:t>
      </w:r>
      <w:r>
        <w:rPr>
          <w:rFonts w:hint="eastAsia" w:ascii="Times New Roman" w:hAnsi="Times New Roman" w:eastAsia="仿宋_GB2312" w:cs="Times New Roman"/>
          <w:sz w:val="28"/>
        </w:rPr>
        <w:t>化与生态景观打造。</w:t>
      </w:r>
    </w:p>
    <w:p>
      <w:pPr>
        <w:spacing w:line="360" w:lineRule="auto"/>
        <w:ind w:firstLine="640" w:firstLineChars="200"/>
        <w:rPr>
          <w:rFonts w:ascii="黑体" w:hAnsi="黑体" w:eastAsia="黑体" w:cs="Times New Roman"/>
          <w:sz w:val="32"/>
          <w:szCs w:val="32"/>
        </w:rPr>
      </w:pPr>
      <w:r>
        <w:rPr>
          <w:rFonts w:hint="eastAsia" w:ascii="黑体" w:hAnsi="黑体" w:eastAsia="黑体" w:cs="Times New Roman"/>
          <w:sz w:val="32"/>
          <w:szCs w:val="32"/>
        </w:rPr>
        <w:t>十一、结论</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《金湖县</w:t>
      </w:r>
      <w:r>
        <w:rPr>
          <w:rFonts w:ascii="Times New Roman" w:hAnsi="Times New Roman" w:eastAsia="仿宋_GB2312" w:cs="Times New Roman"/>
          <w:sz w:val="28"/>
        </w:rPr>
        <w:t>2024-01号土地征收成片开发方案</w:t>
      </w:r>
      <w:r>
        <w:rPr>
          <w:rFonts w:hint="eastAsia" w:ascii="Times New Roman" w:hAnsi="Times New Roman" w:eastAsia="仿宋_GB2312" w:cs="Times New Roman"/>
          <w:sz w:val="28"/>
        </w:rPr>
        <w:t>（征求意见稿）》符合自然资源部土地征收成片开发的标准，做到了保护耕地、维护农民合法权益、节约集约用地、保护生态环境，能够促进经济社会可持续发展。</w:t>
      </w:r>
      <w:r>
        <w:rPr>
          <w:rFonts w:ascii="Times New Roman" w:hAnsi="Times New Roman" w:eastAsia="仿宋_GB2312" w:cs="Times New Roman"/>
          <w:sz w:val="28"/>
        </w:rPr>
        <w:br w:type="page"/>
      </w:r>
    </w:p>
    <w:p>
      <w:pPr>
        <w:spacing w:line="360" w:lineRule="auto"/>
        <w:rPr>
          <w:rFonts w:ascii="黑体" w:hAnsi="黑体" w:eastAsia="黑体" w:cs="Times New Roman"/>
          <w:sz w:val="32"/>
          <w:szCs w:val="32"/>
        </w:rPr>
      </w:pPr>
      <w:r>
        <w:rPr>
          <w:rFonts w:hint="eastAsia" w:ascii="黑体" w:hAnsi="黑体" w:eastAsia="黑体" w:cs="Times New Roman"/>
          <w:sz w:val="32"/>
          <w:szCs w:val="32"/>
        </w:rPr>
        <w:t>附件</w:t>
      </w:r>
      <w:r>
        <w:rPr>
          <w:rFonts w:ascii="黑体" w:hAnsi="黑体" w:eastAsia="黑体" w:cs="Times New Roman"/>
          <w:sz w:val="32"/>
          <w:szCs w:val="32"/>
        </w:rPr>
        <w:t>1</w:t>
      </w:r>
      <w:r>
        <w:rPr>
          <w:rFonts w:hint="eastAsia" w:ascii="黑体" w:hAnsi="黑体" w:eastAsia="黑体" w:cs="Times New Roman"/>
          <w:sz w:val="32"/>
          <w:szCs w:val="32"/>
        </w:rPr>
        <w:t>：片区信息</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（一）</w:t>
      </w:r>
      <w:r>
        <w:rPr>
          <w:rFonts w:hint="eastAsia" w:ascii="Times New Roman" w:hAnsi="Times New Roman" w:eastAsia="仿宋_GB2312" w:cs="Times New Roman"/>
          <w:sz w:val="28"/>
        </w:rPr>
        <w:t>高铁枢纽商业片区：</w:t>
      </w:r>
    </w:p>
    <w:p>
      <w:pPr>
        <w:spacing w:line="360" w:lineRule="auto"/>
        <w:ind w:firstLine="560" w:firstLineChars="200"/>
        <w:jc w:val="left"/>
        <w:rPr>
          <w:rFonts w:ascii="Times New Roman" w:hAnsi="Times New Roman" w:eastAsia="仿宋_GB2312" w:cs="Times New Roman"/>
          <w:sz w:val="28"/>
        </w:rPr>
      </w:pPr>
      <w:r>
        <w:rPr>
          <w:rFonts w:ascii="Times New Roman" w:hAnsi="Times New Roman" w:eastAsia="仿宋_GB2312" w:cs="Times New Roman"/>
          <w:sz w:val="28"/>
        </w:rPr>
        <w:t>片区面积：56.5236公顷。四至</w:t>
      </w:r>
      <w:r>
        <w:rPr>
          <w:rFonts w:hint="eastAsia" w:ascii="Times New Roman" w:hAnsi="Times New Roman" w:eastAsia="仿宋_GB2312" w:cs="Times New Roman"/>
          <w:sz w:val="28"/>
        </w:rPr>
        <w:t>：西至东截水沟，北至神华大道，东至双楼路东侧，南至西海路</w:t>
      </w:r>
      <w:r>
        <w:rPr>
          <w:rFonts w:ascii="Times New Roman" w:hAnsi="Times New Roman" w:eastAsia="仿宋_GB2312" w:cs="Times New Roman"/>
          <w:sz w:val="28"/>
        </w:rPr>
        <w:t>。</w:t>
      </w:r>
      <w:r>
        <w:rPr>
          <w:rFonts w:hint="eastAsia" w:ascii="Times New Roman" w:hAnsi="Times New Roman" w:eastAsia="仿宋_GB2312" w:cs="Times New Roman"/>
          <w:sz w:val="28"/>
        </w:rPr>
        <w:t>城市新区型</w:t>
      </w:r>
      <w:r>
        <w:rPr>
          <w:rFonts w:ascii="Times New Roman" w:hAnsi="Times New Roman" w:eastAsia="仿宋_GB2312" w:cs="Times New Roman"/>
          <w:sz w:val="28"/>
        </w:rPr>
        <w:t>片区</w:t>
      </w:r>
      <w:r>
        <w:rPr>
          <w:rFonts w:hint="eastAsia" w:ascii="Times New Roman" w:hAnsi="Times New Roman" w:eastAsia="仿宋_GB2312" w:cs="Times New Roman"/>
          <w:sz w:val="28"/>
        </w:rPr>
        <w:t>。（范围以最终批复为准）。</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（二）高铁智造产业片</w:t>
      </w:r>
      <w:r>
        <w:rPr>
          <w:rFonts w:ascii="Times New Roman" w:hAnsi="Times New Roman" w:eastAsia="仿宋_GB2312" w:cs="Times New Roman"/>
          <w:sz w:val="28"/>
        </w:rPr>
        <w:t>区</w:t>
      </w:r>
      <w:r>
        <w:rPr>
          <w:rFonts w:hint="eastAsia" w:ascii="Times New Roman" w:hAnsi="Times New Roman" w:eastAsia="仿宋_GB2312" w:cs="Times New Roman"/>
          <w:sz w:val="28"/>
        </w:rPr>
        <w:t>：</w:t>
      </w:r>
    </w:p>
    <w:p>
      <w:pPr>
        <w:spacing w:line="360" w:lineRule="auto"/>
        <w:ind w:firstLine="560" w:firstLineChars="200"/>
        <w:jc w:val="left"/>
        <w:rPr>
          <w:rFonts w:ascii="Times New Roman" w:hAnsi="Times New Roman" w:eastAsia="仿宋_GB2312" w:cs="Times New Roman"/>
          <w:sz w:val="28"/>
        </w:rPr>
      </w:pPr>
      <w:r>
        <w:rPr>
          <w:rFonts w:hint="eastAsia" w:ascii="Times New Roman" w:hAnsi="Times New Roman" w:eastAsia="仿宋_GB2312" w:cs="Times New Roman"/>
          <w:sz w:val="28"/>
        </w:rPr>
        <w:t>片区面积：</w:t>
      </w:r>
      <w:r>
        <w:rPr>
          <w:rFonts w:ascii="Times New Roman" w:hAnsi="Times New Roman" w:eastAsia="仿宋_GB2312" w:cs="Times New Roman"/>
          <w:sz w:val="28"/>
        </w:rPr>
        <w:t>68.0606</w:t>
      </w:r>
      <w:r>
        <w:rPr>
          <w:rFonts w:hint="eastAsia" w:ascii="Times New Roman" w:hAnsi="Times New Roman" w:eastAsia="仿宋_GB2312" w:cs="Times New Roman"/>
          <w:sz w:val="28"/>
        </w:rPr>
        <w:t>公顷。四至：西至东截水沟，北至西海路，东至双楼路东侧，南至临高路。工业主导型片区。（范围以最终批复为准）。</w:t>
      </w:r>
    </w:p>
    <w:p>
      <w:pPr>
        <w:spacing w:line="360" w:lineRule="auto"/>
        <w:ind w:firstLine="560" w:firstLineChars="200"/>
        <w:jc w:val="left"/>
        <w:rPr>
          <w:rFonts w:ascii="Times New Roman" w:hAnsi="Times New Roman" w:eastAsia="仿宋_GB2312" w:cs="Times New Roman"/>
          <w:sz w:val="28"/>
        </w:rPr>
        <w:sectPr>
          <w:footerReference r:id="rId3" w:type="default"/>
          <w:pgSz w:w="11907" w:h="16839"/>
          <w:pgMar w:top="1440" w:right="1800" w:bottom="1440" w:left="1800" w:header="851" w:footer="992" w:gutter="0"/>
          <w:pgNumType w:fmt="numberInDash"/>
          <w:cols w:space="425" w:num="1"/>
          <w:docGrid w:type="lines" w:linePitch="312" w:charSpace="0"/>
        </w:sectPr>
      </w:pPr>
    </w:p>
    <w:p>
      <w:pPr>
        <w:spacing w:line="360" w:lineRule="auto"/>
        <w:rPr>
          <w:rFonts w:ascii="黑体" w:hAnsi="黑体" w:eastAsia="黑体" w:cs="Times New Roman"/>
          <w:sz w:val="32"/>
          <w:szCs w:val="32"/>
        </w:rPr>
      </w:pPr>
      <w:r>
        <w:rPr>
          <w:rFonts w:hint="eastAsia" w:ascii="黑体" w:hAnsi="黑体" w:eastAsia="黑体" w:cs="Times New Roman"/>
          <w:sz w:val="32"/>
          <w:szCs w:val="32"/>
        </w:rPr>
        <w:t>附件2：片区范围示意图</w:t>
      </w:r>
    </w:p>
    <w:p>
      <w:r>
        <w:drawing>
          <wp:anchor distT="0" distB="0" distL="114300" distR="114300" simplePos="0" relativeHeight="251659264" behindDoc="0" locked="0" layoutInCell="1" allowOverlap="1">
            <wp:simplePos x="0" y="0"/>
            <wp:positionH relativeFrom="column">
              <wp:posOffset>1105535</wp:posOffset>
            </wp:positionH>
            <wp:positionV relativeFrom="page">
              <wp:posOffset>861060</wp:posOffset>
            </wp:positionV>
            <wp:extent cx="7560310" cy="52774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t="805" b="805"/>
                    <a:stretch>
                      <a:fillRect/>
                    </a:stretch>
                  </pic:blipFill>
                  <pic:spPr>
                    <a:xfrm>
                      <a:off x="0" y="0"/>
                      <a:ext cx="7560000" cy="5277600"/>
                    </a:xfrm>
                    <a:prstGeom prst="rect">
                      <a:avLst/>
                    </a:prstGeom>
                    <a:noFill/>
                    <a:ln>
                      <a:noFill/>
                    </a:ln>
                  </pic:spPr>
                </pic:pic>
              </a:graphicData>
            </a:graphic>
          </wp:anchor>
        </w:drawing>
      </w:r>
    </w:p>
    <w:p/>
    <w:p/>
    <w:p/>
    <w:p/>
    <w:p/>
    <w:p/>
    <w:p/>
    <w:p/>
    <w:p/>
    <w:p/>
    <w:p/>
    <w:p/>
    <w:p/>
    <w:p/>
    <w:p/>
    <w:p/>
    <w:p/>
    <w:p/>
    <w:p/>
    <w:p/>
    <w:p/>
    <w:p/>
    <w:p/>
    <w:p/>
    <w:p/>
    <w:p/>
    <w:p>
      <w:pPr>
        <w:spacing w:line="360" w:lineRule="auto"/>
        <w:jc w:val="center"/>
        <w:rPr>
          <w:rFonts w:ascii="Times New Roman" w:hAnsi="Times New Roman" w:eastAsia="仿宋_GB2312" w:cs="Times New Roman"/>
          <w:sz w:val="28"/>
        </w:rPr>
      </w:pPr>
      <w:r>
        <w:rPr>
          <w:rFonts w:hint="eastAsia" w:ascii="Times New Roman" w:hAnsi="Times New Roman" w:eastAsia="仿宋_GB2312" w:cs="Times New Roman"/>
          <w:sz w:val="28"/>
        </w:rPr>
        <w:t>（成片开发范围以最终批复为准）</w:t>
      </w:r>
    </w:p>
    <w:p>
      <w:pPr>
        <w:spacing w:line="360" w:lineRule="auto"/>
        <w:jc w:val="center"/>
        <w:rPr>
          <w:rFonts w:ascii="Times New Roman" w:hAnsi="Times New Roman" w:eastAsia="仿宋_GB2312" w:cs="Times New Roman"/>
          <w:sz w:val="28"/>
        </w:rPr>
      </w:pPr>
      <w:r>
        <w:drawing>
          <wp:inline distT="0" distB="0" distL="0" distR="0">
            <wp:extent cx="9392920" cy="6645910"/>
            <wp:effectExtent l="0" t="0" r="0" b="0"/>
            <wp:docPr id="375833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3566"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93051" cy="6646498"/>
                    </a:xfrm>
                    <a:prstGeom prst="rect">
                      <a:avLst/>
                    </a:prstGeom>
                    <a:noFill/>
                    <a:ln>
                      <a:noFill/>
                    </a:ln>
                  </pic:spPr>
                </pic:pic>
              </a:graphicData>
            </a:graphic>
          </wp:inline>
        </w:drawing>
      </w:r>
    </w:p>
    <w:p>
      <w:pPr>
        <w:spacing w:line="360" w:lineRule="auto"/>
        <w:jc w:val="center"/>
        <w:rPr>
          <w:rFonts w:ascii="Times New Roman" w:hAnsi="Times New Roman" w:eastAsia="仿宋_GB2312" w:cs="Times New Roman"/>
          <w:sz w:val="28"/>
        </w:rPr>
      </w:pPr>
      <w:r>
        <w:drawing>
          <wp:inline distT="0" distB="0" distL="0" distR="0">
            <wp:extent cx="9392920" cy="6645910"/>
            <wp:effectExtent l="0" t="0" r="0" b="0"/>
            <wp:docPr id="12088050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05014" name="图片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93051" cy="6646498"/>
                    </a:xfrm>
                    <a:prstGeom prst="rect">
                      <a:avLst/>
                    </a:prstGeom>
                    <a:noFill/>
                    <a:ln>
                      <a:noFill/>
                    </a:ln>
                  </pic:spPr>
                </pic:pic>
              </a:graphicData>
            </a:graphic>
          </wp:inline>
        </w:drawing>
      </w:r>
    </w:p>
    <w:sectPr>
      <w:pgSz w:w="16839" w:h="11907"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9FBD97-CC70-4C23-995A-B19F8775B397}"/>
  </w:font>
  <w:font w:name="Arial">
    <w:panose1 w:val="020B0604020202020204"/>
    <w:charset w:val="01"/>
    <w:family w:val="swiss"/>
    <w:pitch w:val="default"/>
    <w:sig w:usb0="E0002EFF" w:usb1="C000785B" w:usb2="00000009" w:usb3="00000000" w:csb0="400001FF" w:csb1="FFFF0000"/>
    <w:embedRegular r:id="rId2" w:fontKey="{FE34361E-315D-4545-87F1-4CA301647F0B}"/>
  </w:font>
  <w:font w:name="黑体">
    <w:panose1 w:val="02010609060101010101"/>
    <w:charset w:val="86"/>
    <w:family w:val="auto"/>
    <w:pitch w:val="default"/>
    <w:sig w:usb0="800002BF" w:usb1="38CF7CFA" w:usb2="00000016" w:usb3="00000000" w:csb0="00040001" w:csb1="00000000"/>
    <w:embedRegular r:id="rId3" w:fontKey="{5A1BEBE2-C2B8-47E1-9FD1-2BAFE15E0E9F}"/>
  </w:font>
  <w:font w:name="Courier New">
    <w:panose1 w:val="02070309020205020404"/>
    <w:charset w:val="01"/>
    <w:family w:val="modern"/>
    <w:pitch w:val="default"/>
    <w:sig w:usb0="E0002EFF" w:usb1="C0007843" w:usb2="00000009" w:usb3="00000000" w:csb0="400001FF" w:csb1="FFFF0000"/>
    <w:embedRegular r:id="rId4" w:fontKey="{10F3F9C5-B0B6-4C2D-BDDB-D8E4C96C4771}"/>
  </w:font>
  <w:font w:name="Symbol">
    <w:panose1 w:val="05050102010706020507"/>
    <w:charset w:val="02"/>
    <w:family w:val="roman"/>
    <w:pitch w:val="default"/>
    <w:sig w:usb0="00000000" w:usb1="00000000" w:usb2="00000000" w:usb3="00000000" w:csb0="80000000" w:csb1="00000000"/>
    <w:embedRegular r:id="rId5" w:fontKey="{DDF30D3D-2055-418D-915A-2599CF456D34}"/>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6" w:fontKey="{0F7BC092-4B4A-4495-9642-9CA0989DB58B}"/>
  </w:font>
  <w:font w:name="仿宋_GB2312">
    <w:panose1 w:val="02010609030101010101"/>
    <w:charset w:val="86"/>
    <w:family w:val="modern"/>
    <w:pitch w:val="default"/>
    <w:sig w:usb0="00000001" w:usb1="080E0000" w:usb2="00000000" w:usb3="00000000" w:csb0="00040000" w:csb1="00000000"/>
    <w:embedRegular r:id="rId7" w:fontKey="{69DD1FEC-61D4-4282-8FC5-29D27F3A84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093"/>
      <w:docPartObj>
        <w:docPartGallery w:val="AutoText"/>
      </w:docPartObj>
    </w:sdtPr>
    <w:sdtContent>
      <w:p>
        <w:pPr>
          <w:pStyle w:val="4"/>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dmMDcwYmIxYmE4YzVmM2E0MjdiYjlhYTIyYTIyMDQifQ=="/>
  </w:docVars>
  <w:rsids>
    <w:rsidRoot w:val="00172A27"/>
    <w:rsid w:val="00000C09"/>
    <w:rsid w:val="00006FDF"/>
    <w:rsid w:val="00017AAC"/>
    <w:rsid w:val="00017C34"/>
    <w:rsid w:val="000229A7"/>
    <w:rsid w:val="00030B25"/>
    <w:rsid w:val="00041551"/>
    <w:rsid w:val="00045088"/>
    <w:rsid w:val="0004621A"/>
    <w:rsid w:val="000537E4"/>
    <w:rsid w:val="0005534A"/>
    <w:rsid w:val="0006141C"/>
    <w:rsid w:val="00062BAB"/>
    <w:rsid w:val="0007153B"/>
    <w:rsid w:val="00074A39"/>
    <w:rsid w:val="00080A9F"/>
    <w:rsid w:val="00091F84"/>
    <w:rsid w:val="000A00AE"/>
    <w:rsid w:val="000A2F3D"/>
    <w:rsid w:val="000A5562"/>
    <w:rsid w:val="000A597D"/>
    <w:rsid w:val="000B1739"/>
    <w:rsid w:val="000B1BAB"/>
    <w:rsid w:val="000B2503"/>
    <w:rsid w:val="000B7461"/>
    <w:rsid w:val="000C0577"/>
    <w:rsid w:val="000C3340"/>
    <w:rsid w:val="000D5C49"/>
    <w:rsid w:val="000F25B5"/>
    <w:rsid w:val="000F7E0A"/>
    <w:rsid w:val="00100C4F"/>
    <w:rsid w:val="00120FE9"/>
    <w:rsid w:val="0013351C"/>
    <w:rsid w:val="0013533F"/>
    <w:rsid w:val="00143749"/>
    <w:rsid w:val="00161029"/>
    <w:rsid w:val="0016291C"/>
    <w:rsid w:val="00165EFA"/>
    <w:rsid w:val="001664CA"/>
    <w:rsid w:val="00172A27"/>
    <w:rsid w:val="001737F4"/>
    <w:rsid w:val="00175B5E"/>
    <w:rsid w:val="00181708"/>
    <w:rsid w:val="0018310B"/>
    <w:rsid w:val="001838A6"/>
    <w:rsid w:val="001902D4"/>
    <w:rsid w:val="0019468E"/>
    <w:rsid w:val="001A253F"/>
    <w:rsid w:val="001B3CB0"/>
    <w:rsid w:val="001C32AC"/>
    <w:rsid w:val="001D20D2"/>
    <w:rsid w:val="001E1BA9"/>
    <w:rsid w:val="001E622F"/>
    <w:rsid w:val="001F0D1B"/>
    <w:rsid w:val="001F168C"/>
    <w:rsid w:val="001F1746"/>
    <w:rsid w:val="001F1F78"/>
    <w:rsid w:val="001F34DC"/>
    <w:rsid w:val="00206535"/>
    <w:rsid w:val="00216983"/>
    <w:rsid w:val="0023353F"/>
    <w:rsid w:val="002355C6"/>
    <w:rsid w:val="00245934"/>
    <w:rsid w:val="00246B76"/>
    <w:rsid w:val="002478CB"/>
    <w:rsid w:val="002559D9"/>
    <w:rsid w:val="00281244"/>
    <w:rsid w:val="00282E07"/>
    <w:rsid w:val="00295A27"/>
    <w:rsid w:val="002A6BDC"/>
    <w:rsid w:val="002C06EB"/>
    <w:rsid w:val="002E4268"/>
    <w:rsid w:val="002E4335"/>
    <w:rsid w:val="002E7474"/>
    <w:rsid w:val="002F3923"/>
    <w:rsid w:val="00302323"/>
    <w:rsid w:val="003216EF"/>
    <w:rsid w:val="0033102C"/>
    <w:rsid w:val="0034074B"/>
    <w:rsid w:val="00340B3A"/>
    <w:rsid w:val="00342020"/>
    <w:rsid w:val="00353535"/>
    <w:rsid w:val="00362986"/>
    <w:rsid w:val="00365780"/>
    <w:rsid w:val="00376368"/>
    <w:rsid w:val="00383AFD"/>
    <w:rsid w:val="00396C3B"/>
    <w:rsid w:val="003A03D0"/>
    <w:rsid w:val="003A58A6"/>
    <w:rsid w:val="003A6662"/>
    <w:rsid w:val="003A784A"/>
    <w:rsid w:val="003B6B9D"/>
    <w:rsid w:val="003D29DF"/>
    <w:rsid w:val="003D75E2"/>
    <w:rsid w:val="003D7DDD"/>
    <w:rsid w:val="003E4304"/>
    <w:rsid w:val="003F7686"/>
    <w:rsid w:val="004000C1"/>
    <w:rsid w:val="00430BB3"/>
    <w:rsid w:val="00433C2B"/>
    <w:rsid w:val="00441A26"/>
    <w:rsid w:val="00447536"/>
    <w:rsid w:val="0045546D"/>
    <w:rsid w:val="004556BA"/>
    <w:rsid w:val="00455CAF"/>
    <w:rsid w:val="004801F4"/>
    <w:rsid w:val="00486D63"/>
    <w:rsid w:val="00490057"/>
    <w:rsid w:val="004933F9"/>
    <w:rsid w:val="00493463"/>
    <w:rsid w:val="004A3F62"/>
    <w:rsid w:val="004F0A73"/>
    <w:rsid w:val="005057CC"/>
    <w:rsid w:val="00516518"/>
    <w:rsid w:val="00524501"/>
    <w:rsid w:val="005370EF"/>
    <w:rsid w:val="005379AE"/>
    <w:rsid w:val="0054173D"/>
    <w:rsid w:val="0054371B"/>
    <w:rsid w:val="00544AE8"/>
    <w:rsid w:val="00547569"/>
    <w:rsid w:val="00552AA6"/>
    <w:rsid w:val="005843B5"/>
    <w:rsid w:val="005914C0"/>
    <w:rsid w:val="00594EEE"/>
    <w:rsid w:val="005A0B14"/>
    <w:rsid w:val="005A1AE4"/>
    <w:rsid w:val="005B387E"/>
    <w:rsid w:val="005B7215"/>
    <w:rsid w:val="005B7F5F"/>
    <w:rsid w:val="005C149A"/>
    <w:rsid w:val="005C3DDC"/>
    <w:rsid w:val="005C68C3"/>
    <w:rsid w:val="005E568E"/>
    <w:rsid w:val="005E6AFC"/>
    <w:rsid w:val="005F0F8D"/>
    <w:rsid w:val="005F1DB0"/>
    <w:rsid w:val="006034E2"/>
    <w:rsid w:val="00613998"/>
    <w:rsid w:val="00621FCD"/>
    <w:rsid w:val="006305F6"/>
    <w:rsid w:val="00633A25"/>
    <w:rsid w:val="00636F30"/>
    <w:rsid w:val="00645521"/>
    <w:rsid w:val="006501AE"/>
    <w:rsid w:val="00654246"/>
    <w:rsid w:val="006578A2"/>
    <w:rsid w:val="00666B2B"/>
    <w:rsid w:val="00671350"/>
    <w:rsid w:val="006821AF"/>
    <w:rsid w:val="006835D0"/>
    <w:rsid w:val="006B54F3"/>
    <w:rsid w:val="006B79A0"/>
    <w:rsid w:val="006C242D"/>
    <w:rsid w:val="006C28C0"/>
    <w:rsid w:val="006C381B"/>
    <w:rsid w:val="006C4998"/>
    <w:rsid w:val="006D402D"/>
    <w:rsid w:val="006D52B9"/>
    <w:rsid w:val="006E2768"/>
    <w:rsid w:val="006E6C50"/>
    <w:rsid w:val="006F3605"/>
    <w:rsid w:val="006F5057"/>
    <w:rsid w:val="006F7AA2"/>
    <w:rsid w:val="0070428B"/>
    <w:rsid w:val="007060C2"/>
    <w:rsid w:val="00713955"/>
    <w:rsid w:val="00721C5E"/>
    <w:rsid w:val="00723FF0"/>
    <w:rsid w:val="00731011"/>
    <w:rsid w:val="007370EC"/>
    <w:rsid w:val="007427A3"/>
    <w:rsid w:val="007433C0"/>
    <w:rsid w:val="00747555"/>
    <w:rsid w:val="00753B62"/>
    <w:rsid w:val="0076255B"/>
    <w:rsid w:val="00770A81"/>
    <w:rsid w:val="0077238A"/>
    <w:rsid w:val="00774541"/>
    <w:rsid w:val="00783184"/>
    <w:rsid w:val="00794FAB"/>
    <w:rsid w:val="007A26E9"/>
    <w:rsid w:val="007A27CE"/>
    <w:rsid w:val="007C4F68"/>
    <w:rsid w:val="007C5C40"/>
    <w:rsid w:val="007C6203"/>
    <w:rsid w:val="007D3B42"/>
    <w:rsid w:val="007D3D2E"/>
    <w:rsid w:val="007D3DDC"/>
    <w:rsid w:val="007D4889"/>
    <w:rsid w:val="007F322B"/>
    <w:rsid w:val="0080624C"/>
    <w:rsid w:val="00806C73"/>
    <w:rsid w:val="00810947"/>
    <w:rsid w:val="008267A2"/>
    <w:rsid w:val="00831FFA"/>
    <w:rsid w:val="00836D47"/>
    <w:rsid w:val="008400C8"/>
    <w:rsid w:val="00841331"/>
    <w:rsid w:val="00842D1B"/>
    <w:rsid w:val="00843D61"/>
    <w:rsid w:val="008523DD"/>
    <w:rsid w:val="00852FC1"/>
    <w:rsid w:val="00854859"/>
    <w:rsid w:val="00863416"/>
    <w:rsid w:val="00864C7A"/>
    <w:rsid w:val="00882EEE"/>
    <w:rsid w:val="00897767"/>
    <w:rsid w:val="008A152A"/>
    <w:rsid w:val="008B569A"/>
    <w:rsid w:val="008B6278"/>
    <w:rsid w:val="008E0814"/>
    <w:rsid w:val="008E0896"/>
    <w:rsid w:val="008E2B11"/>
    <w:rsid w:val="008E43E0"/>
    <w:rsid w:val="008E4785"/>
    <w:rsid w:val="00901A02"/>
    <w:rsid w:val="00912FAC"/>
    <w:rsid w:val="00926FEA"/>
    <w:rsid w:val="0093201F"/>
    <w:rsid w:val="00935FFB"/>
    <w:rsid w:val="00944C7C"/>
    <w:rsid w:val="00952A6C"/>
    <w:rsid w:val="00955A60"/>
    <w:rsid w:val="009731CA"/>
    <w:rsid w:val="009748CC"/>
    <w:rsid w:val="00975CD8"/>
    <w:rsid w:val="00995CA0"/>
    <w:rsid w:val="009A3099"/>
    <w:rsid w:val="009B0B1D"/>
    <w:rsid w:val="009B2C82"/>
    <w:rsid w:val="009D2195"/>
    <w:rsid w:val="009F103B"/>
    <w:rsid w:val="00A232BC"/>
    <w:rsid w:val="00A23DC5"/>
    <w:rsid w:val="00A25AA0"/>
    <w:rsid w:val="00A428FB"/>
    <w:rsid w:val="00A43AA8"/>
    <w:rsid w:val="00A508C9"/>
    <w:rsid w:val="00A542A8"/>
    <w:rsid w:val="00A70109"/>
    <w:rsid w:val="00A72E69"/>
    <w:rsid w:val="00A80151"/>
    <w:rsid w:val="00A8264D"/>
    <w:rsid w:val="00A85391"/>
    <w:rsid w:val="00A942BE"/>
    <w:rsid w:val="00A95D08"/>
    <w:rsid w:val="00AA4566"/>
    <w:rsid w:val="00AC47F4"/>
    <w:rsid w:val="00AD7D2A"/>
    <w:rsid w:val="00AE697A"/>
    <w:rsid w:val="00B0131B"/>
    <w:rsid w:val="00B17F64"/>
    <w:rsid w:val="00B27CFC"/>
    <w:rsid w:val="00B30CCE"/>
    <w:rsid w:val="00B4037E"/>
    <w:rsid w:val="00B522E0"/>
    <w:rsid w:val="00B525D6"/>
    <w:rsid w:val="00B56237"/>
    <w:rsid w:val="00B6013D"/>
    <w:rsid w:val="00B61844"/>
    <w:rsid w:val="00B72A2D"/>
    <w:rsid w:val="00B82305"/>
    <w:rsid w:val="00B92B16"/>
    <w:rsid w:val="00BA313A"/>
    <w:rsid w:val="00BA66BD"/>
    <w:rsid w:val="00BB11FF"/>
    <w:rsid w:val="00BB574B"/>
    <w:rsid w:val="00BC245F"/>
    <w:rsid w:val="00BC4AE6"/>
    <w:rsid w:val="00BD05EB"/>
    <w:rsid w:val="00BD0F4C"/>
    <w:rsid w:val="00BD0F80"/>
    <w:rsid w:val="00BD3B16"/>
    <w:rsid w:val="00BD61B9"/>
    <w:rsid w:val="00BF3245"/>
    <w:rsid w:val="00BF6DE8"/>
    <w:rsid w:val="00C06AE4"/>
    <w:rsid w:val="00C07146"/>
    <w:rsid w:val="00C12C8F"/>
    <w:rsid w:val="00C40B15"/>
    <w:rsid w:val="00C468DF"/>
    <w:rsid w:val="00C47856"/>
    <w:rsid w:val="00C51178"/>
    <w:rsid w:val="00C65441"/>
    <w:rsid w:val="00C65634"/>
    <w:rsid w:val="00C806C0"/>
    <w:rsid w:val="00C8263D"/>
    <w:rsid w:val="00C82B19"/>
    <w:rsid w:val="00C910D0"/>
    <w:rsid w:val="00CA30E7"/>
    <w:rsid w:val="00CA320E"/>
    <w:rsid w:val="00CB3965"/>
    <w:rsid w:val="00CB713A"/>
    <w:rsid w:val="00CB7E99"/>
    <w:rsid w:val="00CC150F"/>
    <w:rsid w:val="00CC46AA"/>
    <w:rsid w:val="00CD0A5F"/>
    <w:rsid w:val="00CD0B60"/>
    <w:rsid w:val="00CD0EF1"/>
    <w:rsid w:val="00CD47EC"/>
    <w:rsid w:val="00CD5FFE"/>
    <w:rsid w:val="00CF751E"/>
    <w:rsid w:val="00D041D9"/>
    <w:rsid w:val="00D34F4A"/>
    <w:rsid w:val="00D408D7"/>
    <w:rsid w:val="00D43657"/>
    <w:rsid w:val="00D51476"/>
    <w:rsid w:val="00D542FD"/>
    <w:rsid w:val="00D631C5"/>
    <w:rsid w:val="00D6326B"/>
    <w:rsid w:val="00D72915"/>
    <w:rsid w:val="00D76AC8"/>
    <w:rsid w:val="00D77FF1"/>
    <w:rsid w:val="00D874FC"/>
    <w:rsid w:val="00D96D52"/>
    <w:rsid w:val="00DA7CB8"/>
    <w:rsid w:val="00DB1E43"/>
    <w:rsid w:val="00DB33A6"/>
    <w:rsid w:val="00DB722A"/>
    <w:rsid w:val="00DC0CAA"/>
    <w:rsid w:val="00DC1B89"/>
    <w:rsid w:val="00DD05F1"/>
    <w:rsid w:val="00DD51D2"/>
    <w:rsid w:val="00DE76AA"/>
    <w:rsid w:val="00E06E16"/>
    <w:rsid w:val="00E1348F"/>
    <w:rsid w:val="00E17B57"/>
    <w:rsid w:val="00E20080"/>
    <w:rsid w:val="00E22179"/>
    <w:rsid w:val="00E26BA1"/>
    <w:rsid w:val="00E47591"/>
    <w:rsid w:val="00E51E96"/>
    <w:rsid w:val="00E53026"/>
    <w:rsid w:val="00E57CCB"/>
    <w:rsid w:val="00E650A2"/>
    <w:rsid w:val="00E71CEB"/>
    <w:rsid w:val="00E7689A"/>
    <w:rsid w:val="00E852BE"/>
    <w:rsid w:val="00E90DD1"/>
    <w:rsid w:val="00E91280"/>
    <w:rsid w:val="00EA6C45"/>
    <w:rsid w:val="00EB463E"/>
    <w:rsid w:val="00EB669D"/>
    <w:rsid w:val="00EC3742"/>
    <w:rsid w:val="00EC6385"/>
    <w:rsid w:val="00ED62C6"/>
    <w:rsid w:val="00EE6C85"/>
    <w:rsid w:val="00EF7B0C"/>
    <w:rsid w:val="00F00740"/>
    <w:rsid w:val="00F073B8"/>
    <w:rsid w:val="00F127F1"/>
    <w:rsid w:val="00F31152"/>
    <w:rsid w:val="00F903E5"/>
    <w:rsid w:val="00F9085C"/>
    <w:rsid w:val="00F92219"/>
    <w:rsid w:val="00FC2F4D"/>
    <w:rsid w:val="00FC3581"/>
    <w:rsid w:val="00FC3F98"/>
    <w:rsid w:val="00FC569C"/>
    <w:rsid w:val="00FF0658"/>
    <w:rsid w:val="00FF273F"/>
    <w:rsid w:val="17E22EAB"/>
    <w:rsid w:val="1D16494E"/>
    <w:rsid w:val="2BF7678E"/>
    <w:rsid w:val="3E426AB0"/>
    <w:rsid w:val="3F993678"/>
    <w:rsid w:val="4A5036DD"/>
    <w:rsid w:val="516033A8"/>
    <w:rsid w:val="69A344D1"/>
    <w:rsid w:val="75703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uiPriority w:val="99"/>
    <w:pPr>
      <w:jc w:val="left"/>
    </w:pPr>
  </w:style>
  <w:style w:type="paragraph" w:styleId="3">
    <w:name w:val="Balloon Text"/>
    <w:basedOn w:val="1"/>
    <w:link w:val="13"/>
    <w:semiHidden/>
    <w:unhideWhenUsed/>
    <w:uiPriority w:val="99"/>
    <w:rPr>
      <w:sz w:val="18"/>
      <w:szCs w:val="18"/>
    </w:r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uiPriority w:val="99"/>
    <w:rPr>
      <w:b/>
      <w:bCs/>
    </w:rPr>
  </w:style>
  <w:style w:type="character" w:styleId="9">
    <w:name w:val="annotation reference"/>
    <w:basedOn w:val="8"/>
    <w:semiHidden/>
    <w:unhideWhenUsed/>
    <w:uiPriority w:val="99"/>
    <w:rPr>
      <w:sz w:val="21"/>
      <w:szCs w:val="21"/>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8"/>
    <w:link w:val="3"/>
    <w:semiHidden/>
    <w:uiPriority w:val="99"/>
    <w:rPr>
      <w:rFonts w:asciiTheme="minorHAnsi" w:hAnsiTheme="minorHAnsi" w:eastAsiaTheme="minorEastAsia" w:cstheme="minorBidi"/>
      <w:kern w:val="2"/>
      <w:sz w:val="18"/>
      <w:szCs w:val="18"/>
    </w:rPr>
  </w:style>
  <w:style w:type="character" w:customStyle="1" w:styleId="14">
    <w:name w:val="批注文字 字符"/>
    <w:basedOn w:val="8"/>
    <w:link w:val="2"/>
    <w:semiHidden/>
    <w:uiPriority w:val="99"/>
    <w:rPr>
      <w:rFonts w:asciiTheme="minorHAnsi" w:hAnsiTheme="minorHAnsi" w:eastAsiaTheme="minorEastAsia" w:cstheme="minorBidi"/>
      <w:kern w:val="2"/>
      <w:sz w:val="21"/>
      <w:szCs w:val="22"/>
    </w:rPr>
  </w:style>
  <w:style w:type="character" w:customStyle="1" w:styleId="15">
    <w:name w:val="批注主题 字符"/>
    <w:basedOn w:val="14"/>
    <w:link w:val="6"/>
    <w:semiHidden/>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9</Pages>
  <Words>387</Words>
  <Characters>2208</Characters>
  <Lines>18</Lines>
  <Paragraphs>5</Paragraphs>
  <TotalTime>1076</TotalTime>
  <ScaleCrop>false</ScaleCrop>
  <LinksUpToDate>false</LinksUpToDate>
  <CharactersWithSpaces>2590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2022-09-22T11:54:00Z</dcterms:created>
  <dc:creator>jy1</dc:creator>
  <cp:lastModifiedBy>WPS_1702947225</cp:lastModifiedBy>
  <cp:lastPrinted>2021-05-20T02:11:00Z</cp:lastPrinted>
  <dcterms:modified xsi:type="dcterms:W3CDTF">2024-01-29T00:41:26Z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3B063237579E4FFF9655A28795632BCB</vt:lpwstr>
  </property>
  <property fmtid="{D5CDD505-2E9C-101B-9397-08002B2CF9AE}" pid="4" name="KSOSaveFontToCloudKey">
    <vt:lpwstr>201864169_embed</vt:lpwstr>
  </property>
</Properties>
</file>