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40" w:lineRule="exact"/>
        <w:rPr>
          <w:rFonts w:eastAsia="黑体"/>
          <w:color w:val="000000"/>
          <w:spacing w:val="12"/>
          <w:sz w:val="28"/>
          <w:szCs w:val="28"/>
        </w:rPr>
      </w:pPr>
      <w:r>
        <w:rPr>
          <w:rFonts w:eastAsia="黑体"/>
          <w:color w:val="000000"/>
          <w:spacing w:val="12"/>
          <w:sz w:val="28"/>
          <w:szCs w:val="28"/>
        </w:rPr>
        <w:t>金湖县十五届人大</w:t>
      </w:r>
    </w:p>
    <w:p>
      <w:pPr>
        <w:overflowPunct w:val="0"/>
        <w:spacing w:line="440" w:lineRule="exact"/>
        <w:rPr>
          <w:rFonts w:eastAsia="黑体"/>
          <w:color w:val="000000"/>
          <w:spacing w:val="64"/>
          <w:sz w:val="24"/>
          <w:szCs w:val="24"/>
        </w:rPr>
      </w:pPr>
      <w:r>
        <w:rPr>
          <w:rFonts w:eastAsia="黑体"/>
          <w:color w:val="000000"/>
          <w:spacing w:val="71"/>
          <w:sz w:val="28"/>
          <w:szCs w:val="28"/>
        </w:rPr>
        <w:t>一次会议文件</w:t>
      </w:r>
    </w:p>
    <w:p>
      <w:pPr>
        <w:spacing w:line="560" w:lineRule="exact"/>
        <w:ind w:firstLine="920" w:firstLineChars="200"/>
        <w:rPr>
          <w:rFonts w:eastAsia="方正大标宋简体"/>
          <w:b/>
          <w:bCs/>
          <w:spacing w:val="10"/>
          <w:sz w:val="44"/>
          <w:szCs w:val="44"/>
        </w:rPr>
      </w:pPr>
    </w:p>
    <w:p>
      <w:pPr>
        <w:spacing w:line="560" w:lineRule="exact"/>
        <w:jc w:val="center"/>
        <w:rPr>
          <w:rFonts w:eastAsia="方正小标宋_GBK"/>
          <w:sz w:val="44"/>
          <w:szCs w:val="44"/>
        </w:rPr>
      </w:pPr>
      <w:r>
        <w:rPr>
          <w:rFonts w:eastAsia="方正小标宋_GBK"/>
          <w:sz w:val="44"/>
          <w:szCs w:val="44"/>
        </w:rPr>
        <w:t>关于金湖县2021年财政预算执行情况</w:t>
      </w:r>
    </w:p>
    <w:p>
      <w:pPr>
        <w:spacing w:line="560" w:lineRule="exact"/>
        <w:jc w:val="center"/>
        <w:rPr>
          <w:rFonts w:eastAsia="方正小标宋_GBK"/>
          <w:b/>
          <w:bCs/>
          <w:sz w:val="44"/>
          <w:szCs w:val="44"/>
        </w:rPr>
      </w:pPr>
      <w:r>
        <w:rPr>
          <w:rFonts w:eastAsia="方正小标宋_GBK"/>
          <w:sz w:val="44"/>
          <w:szCs w:val="44"/>
        </w:rPr>
        <w:t>和2022年财政预算（草案）的报告</w:t>
      </w:r>
    </w:p>
    <w:p>
      <w:pPr>
        <w:spacing w:before="313" w:beforeLines="100" w:line="560" w:lineRule="exact"/>
        <w:jc w:val="center"/>
        <w:rPr>
          <w:rFonts w:eastAsia="楷体_GB2312"/>
          <w:sz w:val="28"/>
          <w:szCs w:val="28"/>
        </w:rPr>
      </w:pPr>
      <w:r>
        <w:rPr>
          <w:rFonts w:eastAsia="楷体_GB2312"/>
          <w:sz w:val="28"/>
          <w:szCs w:val="28"/>
        </w:rPr>
        <w:t>——2022年1月</w:t>
      </w:r>
      <w:r>
        <w:rPr>
          <w:rFonts w:hint="eastAsia" w:eastAsia="楷体_GB2312"/>
          <w:sz w:val="28"/>
          <w:szCs w:val="28"/>
        </w:rPr>
        <w:t>23</w:t>
      </w:r>
      <w:r>
        <w:rPr>
          <w:rFonts w:eastAsia="楷体_GB2312"/>
          <w:sz w:val="28"/>
          <w:szCs w:val="28"/>
        </w:rPr>
        <w:t>日在金湖县第十五届人民代表大会第一次会议上</w:t>
      </w:r>
    </w:p>
    <w:p>
      <w:pPr>
        <w:spacing w:before="313" w:beforeLines="100" w:line="560" w:lineRule="exact"/>
        <w:jc w:val="center"/>
        <w:rPr>
          <w:rFonts w:eastAsia="楷体_GB2312"/>
          <w:spacing w:val="10"/>
          <w:sz w:val="32"/>
          <w:szCs w:val="32"/>
        </w:rPr>
      </w:pPr>
      <w:r>
        <w:rPr>
          <w:rFonts w:eastAsia="楷体_GB2312"/>
          <w:spacing w:val="10"/>
          <w:sz w:val="32"/>
          <w:szCs w:val="32"/>
        </w:rPr>
        <w:t>县财政局局长  王雪峰</w:t>
      </w:r>
    </w:p>
    <w:p>
      <w:pPr>
        <w:spacing w:line="560" w:lineRule="exact"/>
        <w:ind w:firstLine="640" w:firstLineChars="200"/>
        <w:rPr>
          <w:rFonts w:eastAsia="仿宋_GB2312"/>
          <w:spacing w:val="20"/>
          <w:sz w:val="28"/>
          <w:szCs w:val="28"/>
        </w:rPr>
      </w:pPr>
    </w:p>
    <w:p>
      <w:pPr>
        <w:adjustRightInd w:val="0"/>
        <w:snapToGrid w:val="0"/>
        <w:spacing w:line="560" w:lineRule="exact"/>
        <w:rPr>
          <w:rFonts w:eastAsia="仿宋_GB2312"/>
          <w:snapToGrid w:val="0"/>
          <w:sz w:val="32"/>
          <w:szCs w:val="32"/>
        </w:rPr>
      </w:pPr>
      <w:r>
        <w:rPr>
          <w:rFonts w:eastAsia="仿宋_GB2312"/>
          <w:snapToGrid w:val="0"/>
          <w:sz w:val="32"/>
          <w:szCs w:val="32"/>
        </w:rPr>
        <w:t>各位代表:</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我受县人民政府委托，向大会报告我县2021年财政预算执行情况和2022年财政预算（草案），请予审议，并请政协委员和列席同志提出意见。</w:t>
      </w:r>
    </w:p>
    <w:p>
      <w:pPr>
        <w:adjustRightInd w:val="0"/>
        <w:snapToGrid w:val="0"/>
        <w:spacing w:line="560" w:lineRule="exact"/>
        <w:ind w:firstLine="640" w:firstLineChars="200"/>
        <w:rPr>
          <w:rFonts w:eastAsia="黑体"/>
          <w:snapToGrid w:val="0"/>
          <w:sz w:val="32"/>
          <w:szCs w:val="32"/>
        </w:rPr>
      </w:pPr>
      <w:r>
        <w:rPr>
          <w:rFonts w:eastAsia="黑体"/>
          <w:snapToGrid w:val="0"/>
          <w:sz w:val="32"/>
          <w:szCs w:val="32"/>
        </w:rPr>
        <w:t>一、2021年财政预算执行情况</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（一）一般公共预算执行情况</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全县完成一般公共预算收入25.3亿元，完成人代会目标的103.</w:t>
      </w:r>
      <w:r>
        <w:rPr>
          <w:rFonts w:hint="eastAsia" w:eastAsia="仿宋_GB2312"/>
          <w:snapToGrid w:val="0"/>
          <w:sz w:val="32"/>
          <w:szCs w:val="32"/>
        </w:rPr>
        <w:t>9</w:t>
      </w:r>
      <w:r>
        <w:rPr>
          <w:rFonts w:eastAsia="仿宋_GB2312"/>
          <w:snapToGrid w:val="0"/>
          <w:sz w:val="32"/>
          <w:szCs w:val="32"/>
        </w:rPr>
        <w:t>%，较上年增长7.</w:t>
      </w:r>
      <w:r>
        <w:rPr>
          <w:rFonts w:hint="eastAsia" w:eastAsia="仿宋_GB2312"/>
          <w:snapToGrid w:val="0"/>
          <w:sz w:val="32"/>
          <w:szCs w:val="32"/>
        </w:rPr>
        <w:t>5</w:t>
      </w:r>
      <w:r>
        <w:rPr>
          <w:rFonts w:eastAsia="仿宋_GB2312"/>
          <w:snapToGrid w:val="0"/>
          <w:sz w:val="32"/>
          <w:szCs w:val="32"/>
        </w:rPr>
        <w:t>%，其中：县本级</w:t>
      </w:r>
      <w:r>
        <w:rPr>
          <w:rFonts w:hint="eastAsia" w:eastAsia="仿宋_GB2312"/>
          <w:snapToGrid w:val="0"/>
          <w:sz w:val="32"/>
          <w:szCs w:val="32"/>
        </w:rPr>
        <w:t>9</w:t>
      </w:r>
      <w:r>
        <w:rPr>
          <w:rFonts w:eastAsia="仿宋_GB2312"/>
          <w:snapToGrid w:val="0"/>
          <w:sz w:val="32"/>
          <w:szCs w:val="32"/>
        </w:rPr>
        <w:t>.</w:t>
      </w:r>
      <w:r>
        <w:rPr>
          <w:rFonts w:hint="eastAsia" w:eastAsia="仿宋_GB2312"/>
          <w:snapToGrid w:val="0"/>
          <w:sz w:val="32"/>
          <w:szCs w:val="32"/>
        </w:rPr>
        <w:t>79</w:t>
      </w:r>
      <w:r>
        <w:rPr>
          <w:rFonts w:eastAsia="仿宋_GB2312"/>
          <w:snapToGrid w:val="0"/>
          <w:sz w:val="32"/>
          <w:szCs w:val="32"/>
        </w:rPr>
        <w:t>亿元、县经济开发区7.61亿元、黎城街道</w:t>
      </w:r>
      <w:r>
        <w:rPr>
          <w:rFonts w:hint="eastAsia" w:eastAsia="仿宋_GB2312"/>
          <w:snapToGrid w:val="0"/>
          <w:sz w:val="32"/>
          <w:szCs w:val="32"/>
        </w:rPr>
        <w:t>3</w:t>
      </w:r>
      <w:r>
        <w:rPr>
          <w:rFonts w:eastAsia="仿宋_GB2312"/>
          <w:snapToGrid w:val="0"/>
          <w:sz w:val="32"/>
          <w:szCs w:val="32"/>
        </w:rPr>
        <w:t>.32亿元、戴楼街道0.9</w:t>
      </w:r>
      <w:r>
        <w:rPr>
          <w:rFonts w:hint="eastAsia" w:eastAsia="仿宋_GB2312"/>
          <w:snapToGrid w:val="0"/>
          <w:sz w:val="32"/>
          <w:szCs w:val="32"/>
        </w:rPr>
        <w:t>2</w:t>
      </w:r>
      <w:r>
        <w:rPr>
          <w:rFonts w:eastAsia="仿宋_GB2312"/>
          <w:snapToGrid w:val="0"/>
          <w:sz w:val="32"/>
          <w:szCs w:val="32"/>
        </w:rPr>
        <w:t>亿元、金北街道0.</w:t>
      </w:r>
      <w:r>
        <w:rPr>
          <w:rFonts w:hint="eastAsia" w:eastAsia="仿宋_GB2312"/>
          <w:snapToGrid w:val="0"/>
          <w:sz w:val="32"/>
          <w:szCs w:val="32"/>
        </w:rPr>
        <w:t>7</w:t>
      </w:r>
      <w:r>
        <w:rPr>
          <w:rFonts w:eastAsia="仿宋_GB2312"/>
          <w:snapToGrid w:val="0"/>
          <w:sz w:val="32"/>
          <w:szCs w:val="32"/>
        </w:rPr>
        <w:t>3亿元。</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全县完成一般公共预算支出53.78亿元，完成人代会目标的105.9%，较上年增长8.</w:t>
      </w:r>
      <w:r>
        <w:rPr>
          <w:rFonts w:hint="eastAsia" w:eastAsia="仿宋_GB2312"/>
          <w:snapToGrid w:val="0"/>
          <w:sz w:val="32"/>
          <w:szCs w:val="32"/>
        </w:rPr>
        <w:t>7</w:t>
      </w:r>
      <w:r>
        <w:rPr>
          <w:rFonts w:eastAsia="仿宋_GB2312"/>
          <w:snapToGrid w:val="0"/>
          <w:sz w:val="32"/>
          <w:szCs w:val="32"/>
        </w:rPr>
        <w:t>%，其中：县本级37.36亿元、县经济开发区9.</w:t>
      </w:r>
      <w:r>
        <w:rPr>
          <w:rFonts w:hint="eastAsia" w:eastAsia="仿宋_GB2312"/>
          <w:snapToGrid w:val="0"/>
          <w:sz w:val="32"/>
          <w:szCs w:val="32"/>
        </w:rPr>
        <w:t>08</w:t>
      </w:r>
      <w:r>
        <w:rPr>
          <w:rFonts w:eastAsia="仿宋_GB2312"/>
          <w:snapToGrid w:val="0"/>
          <w:sz w:val="32"/>
          <w:szCs w:val="32"/>
        </w:rPr>
        <w:t>亿元、黎城街道1.</w:t>
      </w:r>
      <w:r>
        <w:rPr>
          <w:rFonts w:hint="eastAsia" w:eastAsia="仿宋_GB2312"/>
          <w:snapToGrid w:val="0"/>
          <w:sz w:val="32"/>
          <w:szCs w:val="32"/>
        </w:rPr>
        <w:t>7</w:t>
      </w:r>
      <w:r>
        <w:rPr>
          <w:rFonts w:eastAsia="仿宋_GB2312"/>
          <w:snapToGrid w:val="0"/>
          <w:sz w:val="32"/>
          <w:szCs w:val="32"/>
        </w:rPr>
        <w:t>亿元、戴楼街道0.8</w:t>
      </w:r>
      <w:r>
        <w:rPr>
          <w:rFonts w:hint="eastAsia" w:eastAsia="仿宋_GB2312"/>
          <w:snapToGrid w:val="0"/>
          <w:sz w:val="32"/>
          <w:szCs w:val="32"/>
        </w:rPr>
        <w:t>2</w:t>
      </w:r>
      <w:r>
        <w:rPr>
          <w:rFonts w:eastAsia="仿宋_GB2312"/>
          <w:snapToGrid w:val="0"/>
          <w:sz w:val="32"/>
          <w:szCs w:val="32"/>
        </w:rPr>
        <w:t>亿元、金北街道0.</w:t>
      </w:r>
      <w:r>
        <w:rPr>
          <w:rFonts w:hint="eastAsia" w:eastAsia="仿宋_GB2312"/>
          <w:snapToGrid w:val="0"/>
          <w:sz w:val="32"/>
          <w:szCs w:val="32"/>
        </w:rPr>
        <w:t>9</w:t>
      </w:r>
      <w:r>
        <w:rPr>
          <w:rFonts w:eastAsia="仿宋_GB2312"/>
          <w:snapToGrid w:val="0"/>
          <w:sz w:val="32"/>
          <w:szCs w:val="32"/>
        </w:rPr>
        <w:t>亿元。</w:t>
      </w:r>
    </w:p>
    <w:p>
      <w:pPr>
        <w:numPr>
          <w:ilvl w:val="0"/>
          <w:numId w:val="1"/>
        </w:numPr>
        <w:kinsoku w:val="0"/>
        <w:autoSpaceDE w:val="0"/>
        <w:autoSpaceDN w:val="0"/>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政府性基金预算执行情况</w:t>
      </w:r>
    </w:p>
    <w:p>
      <w:pPr>
        <w:kinsoku w:val="0"/>
        <w:autoSpaceDE w:val="0"/>
        <w:autoSpaceDN w:val="0"/>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全年完成政府性基金收入19.05亿元，完成人代会目标的70.2%，较上年</w:t>
      </w:r>
      <w:r>
        <w:rPr>
          <w:rFonts w:hint="eastAsia" w:eastAsia="仿宋_GB2312"/>
          <w:snapToGrid w:val="0"/>
          <w:sz w:val="32"/>
          <w:szCs w:val="32"/>
        </w:rPr>
        <w:t>下降</w:t>
      </w:r>
      <w:r>
        <w:rPr>
          <w:rFonts w:eastAsia="仿宋_GB2312"/>
          <w:snapToGrid w:val="0"/>
          <w:sz w:val="32"/>
          <w:szCs w:val="32"/>
        </w:rPr>
        <w:t>12.</w:t>
      </w:r>
      <w:r>
        <w:rPr>
          <w:rFonts w:hint="eastAsia" w:eastAsia="仿宋_GB2312"/>
          <w:snapToGrid w:val="0"/>
          <w:sz w:val="32"/>
          <w:szCs w:val="32"/>
        </w:rPr>
        <w:t>1</w:t>
      </w:r>
      <w:r>
        <w:rPr>
          <w:rFonts w:eastAsia="仿宋_GB2312"/>
          <w:snapToGrid w:val="0"/>
          <w:sz w:val="32"/>
          <w:szCs w:val="32"/>
        </w:rPr>
        <w:t>%，其中：县本级收入19.05亿元。</w:t>
      </w:r>
    </w:p>
    <w:p>
      <w:pPr>
        <w:spacing w:line="560" w:lineRule="exact"/>
        <w:ind w:firstLine="640" w:firstLineChars="200"/>
        <w:rPr>
          <w:rFonts w:eastAsia="仿宋_GB2312"/>
          <w:snapToGrid w:val="0"/>
          <w:sz w:val="32"/>
          <w:szCs w:val="32"/>
        </w:rPr>
      </w:pPr>
      <w:r>
        <w:rPr>
          <w:rFonts w:eastAsia="仿宋_GB2312"/>
          <w:snapToGrid w:val="0"/>
          <w:sz w:val="32"/>
          <w:szCs w:val="32"/>
        </w:rPr>
        <w:t>全年完成政府性基金支出22.51亿元，完成人代会目标的89%，较上年</w:t>
      </w:r>
      <w:r>
        <w:rPr>
          <w:rFonts w:hint="eastAsia" w:eastAsia="仿宋_GB2312"/>
          <w:snapToGrid w:val="0"/>
          <w:sz w:val="32"/>
          <w:szCs w:val="32"/>
        </w:rPr>
        <w:t>增长1</w:t>
      </w:r>
      <w:r>
        <w:rPr>
          <w:rFonts w:eastAsia="仿宋_GB2312"/>
          <w:snapToGrid w:val="0"/>
          <w:sz w:val="32"/>
          <w:szCs w:val="32"/>
        </w:rPr>
        <w:t>2.</w:t>
      </w:r>
      <w:r>
        <w:rPr>
          <w:rFonts w:hint="eastAsia" w:eastAsia="仿宋_GB2312"/>
          <w:snapToGrid w:val="0"/>
          <w:sz w:val="32"/>
          <w:szCs w:val="32"/>
        </w:rPr>
        <w:t>3</w:t>
      </w:r>
      <w:r>
        <w:rPr>
          <w:rFonts w:eastAsia="仿宋_GB2312"/>
          <w:snapToGrid w:val="0"/>
          <w:sz w:val="32"/>
          <w:szCs w:val="32"/>
        </w:rPr>
        <w:t>%，其中：县本级支出18.57亿元。</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（三）国有资本经营预算执行情况</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全年完成国有资本经营预算收入5.53亿元，完成人代会目标的106.</w:t>
      </w:r>
      <w:r>
        <w:rPr>
          <w:rFonts w:hint="eastAsia" w:eastAsia="仿宋_GB2312"/>
          <w:snapToGrid w:val="0"/>
          <w:sz w:val="32"/>
          <w:szCs w:val="32"/>
        </w:rPr>
        <w:t>8</w:t>
      </w:r>
      <w:r>
        <w:rPr>
          <w:rFonts w:eastAsia="仿宋_GB2312"/>
          <w:snapToGrid w:val="0"/>
          <w:sz w:val="32"/>
          <w:szCs w:val="32"/>
        </w:rPr>
        <w:t>%，较上年</w:t>
      </w:r>
      <w:r>
        <w:rPr>
          <w:rFonts w:hint="eastAsia" w:eastAsia="仿宋_GB2312"/>
          <w:snapToGrid w:val="0"/>
          <w:sz w:val="32"/>
          <w:szCs w:val="32"/>
        </w:rPr>
        <w:t>下降1</w:t>
      </w:r>
      <w:r>
        <w:rPr>
          <w:rFonts w:eastAsia="仿宋_GB2312"/>
          <w:snapToGrid w:val="0"/>
          <w:sz w:val="32"/>
          <w:szCs w:val="32"/>
        </w:rPr>
        <w:t>9.</w:t>
      </w:r>
      <w:r>
        <w:rPr>
          <w:rFonts w:hint="eastAsia" w:eastAsia="仿宋_GB2312"/>
          <w:snapToGrid w:val="0"/>
          <w:sz w:val="32"/>
          <w:szCs w:val="32"/>
        </w:rPr>
        <w:t>7</w:t>
      </w:r>
      <w:r>
        <w:rPr>
          <w:rFonts w:eastAsia="仿宋_GB2312"/>
          <w:snapToGrid w:val="0"/>
          <w:sz w:val="32"/>
          <w:szCs w:val="32"/>
        </w:rPr>
        <w:t>%，其中：县本级收入5.53亿元。</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全年完成国有资本经营预算支出5.19亿元，完成人代会目标的70.2%，较上年</w:t>
      </w:r>
      <w:r>
        <w:rPr>
          <w:rFonts w:hint="eastAsia" w:eastAsia="仿宋_GB2312"/>
          <w:snapToGrid w:val="0"/>
          <w:sz w:val="32"/>
          <w:szCs w:val="32"/>
        </w:rPr>
        <w:t>增长1</w:t>
      </w:r>
      <w:r>
        <w:rPr>
          <w:rFonts w:eastAsia="仿宋_GB2312"/>
          <w:snapToGrid w:val="0"/>
          <w:sz w:val="32"/>
          <w:szCs w:val="32"/>
        </w:rPr>
        <w:t>1.</w:t>
      </w:r>
      <w:r>
        <w:rPr>
          <w:rFonts w:hint="eastAsia" w:eastAsia="仿宋_GB2312"/>
          <w:snapToGrid w:val="0"/>
          <w:sz w:val="32"/>
          <w:szCs w:val="32"/>
        </w:rPr>
        <w:t>1</w:t>
      </w:r>
      <w:r>
        <w:rPr>
          <w:rFonts w:eastAsia="仿宋_GB2312"/>
          <w:snapToGrid w:val="0"/>
          <w:sz w:val="32"/>
          <w:szCs w:val="32"/>
        </w:rPr>
        <w:t>%，其中：县本级支出5.04亿元。</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（四）社会保险基金预算执行情况</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全年完成社会保险基金收入6.4</w:t>
      </w:r>
      <w:r>
        <w:rPr>
          <w:rFonts w:hint="eastAsia" w:eastAsia="仿宋_GB2312"/>
          <w:snapToGrid w:val="0"/>
          <w:sz w:val="32"/>
          <w:szCs w:val="32"/>
        </w:rPr>
        <w:t>7</w:t>
      </w:r>
      <w:r>
        <w:rPr>
          <w:rFonts w:eastAsia="仿宋_GB2312"/>
          <w:snapToGrid w:val="0"/>
          <w:sz w:val="32"/>
          <w:szCs w:val="32"/>
        </w:rPr>
        <w:t>亿元，完成人代会目标的104.</w:t>
      </w:r>
      <w:r>
        <w:rPr>
          <w:rFonts w:hint="eastAsia" w:eastAsia="仿宋_GB2312"/>
          <w:snapToGrid w:val="0"/>
          <w:sz w:val="32"/>
          <w:szCs w:val="32"/>
        </w:rPr>
        <w:t>3</w:t>
      </w:r>
      <w:r>
        <w:rPr>
          <w:rFonts w:eastAsia="仿宋_GB2312"/>
          <w:snapToGrid w:val="0"/>
          <w:sz w:val="32"/>
          <w:szCs w:val="32"/>
        </w:rPr>
        <w:t>%，较上年</w:t>
      </w:r>
      <w:r>
        <w:rPr>
          <w:rFonts w:hint="eastAsia" w:eastAsia="仿宋_GB2312"/>
          <w:snapToGrid w:val="0"/>
          <w:sz w:val="32"/>
          <w:szCs w:val="32"/>
        </w:rPr>
        <w:t>增长10.6</w:t>
      </w:r>
      <w:r>
        <w:rPr>
          <w:rFonts w:eastAsia="仿宋_GB2312"/>
          <w:snapToGrid w:val="0"/>
          <w:sz w:val="32"/>
          <w:szCs w:val="32"/>
        </w:rPr>
        <w:t>%，其中：县本级收入6.4</w:t>
      </w:r>
      <w:r>
        <w:rPr>
          <w:rFonts w:hint="eastAsia" w:eastAsia="仿宋_GB2312"/>
          <w:snapToGrid w:val="0"/>
          <w:sz w:val="32"/>
          <w:szCs w:val="32"/>
        </w:rPr>
        <w:t>7</w:t>
      </w:r>
      <w:r>
        <w:rPr>
          <w:rFonts w:eastAsia="仿宋_GB2312"/>
          <w:snapToGrid w:val="0"/>
          <w:sz w:val="32"/>
          <w:szCs w:val="32"/>
        </w:rPr>
        <w:t>亿元。</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全年完成社会保险基金支出6.0</w:t>
      </w:r>
      <w:r>
        <w:rPr>
          <w:rFonts w:hint="eastAsia" w:eastAsia="仿宋_GB2312"/>
          <w:snapToGrid w:val="0"/>
          <w:sz w:val="32"/>
          <w:szCs w:val="32"/>
        </w:rPr>
        <w:t>2</w:t>
      </w:r>
      <w:r>
        <w:rPr>
          <w:rFonts w:eastAsia="仿宋_GB2312"/>
          <w:snapToGrid w:val="0"/>
          <w:sz w:val="32"/>
          <w:szCs w:val="32"/>
        </w:rPr>
        <w:t>亿元，完成人代会目标的10</w:t>
      </w:r>
      <w:r>
        <w:rPr>
          <w:rFonts w:hint="eastAsia" w:eastAsia="仿宋_GB2312"/>
          <w:snapToGrid w:val="0"/>
          <w:sz w:val="32"/>
          <w:szCs w:val="32"/>
        </w:rPr>
        <w:t>3</w:t>
      </w:r>
      <w:r>
        <w:rPr>
          <w:rFonts w:eastAsia="仿宋_GB2312"/>
          <w:snapToGrid w:val="0"/>
          <w:sz w:val="32"/>
          <w:szCs w:val="32"/>
        </w:rPr>
        <w:t>.4%，较上年增长1</w:t>
      </w:r>
      <w:r>
        <w:rPr>
          <w:rFonts w:hint="eastAsia" w:eastAsia="仿宋_GB2312"/>
          <w:snapToGrid w:val="0"/>
          <w:sz w:val="32"/>
          <w:szCs w:val="32"/>
        </w:rPr>
        <w:t>2.2</w:t>
      </w:r>
      <w:r>
        <w:rPr>
          <w:rFonts w:eastAsia="仿宋_GB2312"/>
          <w:snapToGrid w:val="0"/>
          <w:sz w:val="32"/>
          <w:szCs w:val="32"/>
        </w:rPr>
        <w:t>%，其中：县本级支出6.0</w:t>
      </w:r>
      <w:r>
        <w:rPr>
          <w:rFonts w:hint="eastAsia" w:eastAsia="仿宋_GB2312"/>
          <w:snapToGrid w:val="0"/>
          <w:sz w:val="32"/>
          <w:szCs w:val="32"/>
        </w:rPr>
        <w:t>2</w:t>
      </w:r>
      <w:r>
        <w:rPr>
          <w:rFonts w:eastAsia="仿宋_GB2312"/>
          <w:snapToGrid w:val="0"/>
          <w:sz w:val="32"/>
          <w:szCs w:val="32"/>
        </w:rPr>
        <w:t>亿元。</w:t>
      </w:r>
    </w:p>
    <w:p>
      <w:pPr>
        <w:adjustRightInd w:val="0"/>
        <w:snapToGrid w:val="0"/>
        <w:spacing w:line="560" w:lineRule="exact"/>
        <w:ind w:firstLine="640" w:firstLineChars="200"/>
        <w:rPr>
          <w:rFonts w:eastAsia="黑体"/>
          <w:snapToGrid w:val="0"/>
          <w:sz w:val="32"/>
          <w:szCs w:val="32"/>
        </w:rPr>
      </w:pPr>
      <w:r>
        <w:rPr>
          <w:rFonts w:eastAsia="黑体"/>
          <w:snapToGrid w:val="0"/>
          <w:sz w:val="32"/>
          <w:szCs w:val="32"/>
        </w:rPr>
        <w:t>二、2021年财政主要工作</w:t>
      </w:r>
    </w:p>
    <w:p>
      <w:pPr>
        <w:spacing w:line="560" w:lineRule="exact"/>
        <w:ind w:firstLine="640" w:firstLineChars="200"/>
        <w:rPr>
          <w:rFonts w:eastAsia="仿宋_GB2312"/>
          <w:sz w:val="32"/>
          <w:szCs w:val="32"/>
        </w:rPr>
      </w:pPr>
      <w:r>
        <w:rPr>
          <w:rFonts w:eastAsia="仿宋_GB2312"/>
          <w:sz w:val="32"/>
          <w:szCs w:val="32"/>
        </w:rPr>
        <w:t>2021年是“十四五”开局之年，是中国共产党</w:t>
      </w:r>
      <w:r>
        <w:rPr>
          <w:rFonts w:hint="eastAsia" w:eastAsia="仿宋_GB2312"/>
          <w:sz w:val="32"/>
          <w:szCs w:val="32"/>
          <w:lang w:val="en-US" w:eastAsia="zh-CN"/>
        </w:rPr>
        <w:t>成立</w:t>
      </w:r>
      <w:bookmarkStart w:id="0" w:name="_GoBack"/>
      <w:bookmarkEnd w:id="0"/>
      <w:r>
        <w:rPr>
          <w:rFonts w:eastAsia="仿宋_GB2312"/>
          <w:sz w:val="32"/>
          <w:szCs w:val="32"/>
        </w:rPr>
        <w:t>100周年，做好财政工作意义重大。我们在县委、县政府的正确领导下，以习近平新时代中国特色社会主义思想为指导，认真贯彻落实党的十九大和十九届二中、三中、四中、五中、六中全会精神，坚持稳中求进工作总基调，贯彻新发展理念，统筹做好新冠肺炎疫情防控和经济社会发展工作。</w:t>
      </w:r>
    </w:p>
    <w:p>
      <w:pPr>
        <w:spacing w:line="560" w:lineRule="exact"/>
        <w:ind w:firstLine="640" w:firstLineChars="200"/>
        <w:rPr>
          <w:rFonts w:eastAsia="仿宋_GB2312"/>
          <w:color w:val="FF0000"/>
          <w:sz w:val="32"/>
          <w:szCs w:val="32"/>
          <w:lang w:val="zh-CN"/>
        </w:rPr>
      </w:pPr>
      <w:r>
        <w:rPr>
          <w:rFonts w:eastAsia="方正楷体_GBK"/>
          <w:sz w:val="32"/>
          <w:szCs w:val="32"/>
        </w:rPr>
        <w:t>（一）坚持聚财有法，做好全年收入组织。</w:t>
      </w:r>
      <w:r>
        <w:rPr>
          <w:rFonts w:eastAsia="仿宋_GB2312"/>
          <w:b/>
          <w:sz w:val="32"/>
          <w:szCs w:val="32"/>
        </w:rPr>
        <w:t>一是</w:t>
      </w:r>
      <w:r>
        <w:rPr>
          <w:rFonts w:eastAsia="仿宋_GB2312"/>
          <w:sz w:val="32"/>
          <w:szCs w:val="32"/>
        </w:rPr>
        <w:t>全力组织收入。加大规上企业服务力度，培植支柱财源；加强部门间协调配合，强化协税护税力度，形成工作合力，提高收入征管水平。</w:t>
      </w:r>
      <w:r>
        <w:rPr>
          <w:rFonts w:eastAsia="仿宋_GB2312"/>
          <w:b/>
          <w:sz w:val="32"/>
          <w:szCs w:val="32"/>
        </w:rPr>
        <w:t>二是</w:t>
      </w:r>
      <w:r>
        <w:rPr>
          <w:rFonts w:eastAsia="仿宋_GB2312"/>
          <w:sz w:val="32"/>
          <w:szCs w:val="32"/>
        </w:rPr>
        <w:t>强化非税收入征管。实施“单位开票、银行收款、财政监管、政府统筹”新的征管模式，严格实行“收缴分离、罚缴分离、收支分开”，规范非税收入执收执罚行为，</w:t>
      </w:r>
      <w:r>
        <w:rPr>
          <w:rFonts w:hint="eastAsia" w:eastAsia="仿宋_GB2312"/>
          <w:sz w:val="32"/>
          <w:szCs w:val="32"/>
        </w:rPr>
        <w:t>确保应收尽收。全年实现非税收入4.43亿元（不含土地出让收入）</w:t>
      </w:r>
      <w:r>
        <w:rPr>
          <w:rFonts w:eastAsia="仿宋_GB2312"/>
          <w:sz w:val="32"/>
          <w:szCs w:val="32"/>
        </w:rPr>
        <w:t>。</w:t>
      </w:r>
      <w:r>
        <w:rPr>
          <w:rFonts w:eastAsia="仿宋_GB2312"/>
          <w:b/>
          <w:sz w:val="32"/>
          <w:szCs w:val="32"/>
        </w:rPr>
        <w:t>三是</w:t>
      </w:r>
      <w:r>
        <w:rPr>
          <w:rFonts w:eastAsia="仿宋_GB2312"/>
          <w:sz w:val="32"/>
          <w:szCs w:val="32"/>
        </w:rPr>
        <w:t>消化盘活存量资金。</w:t>
      </w:r>
      <w:r>
        <w:rPr>
          <w:rFonts w:hint="eastAsia" w:eastAsia="仿宋_GB2312"/>
          <w:sz w:val="32"/>
          <w:szCs w:val="32"/>
        </w:rPr>
        <w:t>全年</w:t>
      </w:r>
      <w:r>
        <w:rPr>
          <w:rFonts w:eastAsia="仿宋_GB2312"/>
          <w:sz w:val="32"/>
          <w:szCs w:val="32"/>
        </w:rPr>
        <w:t>共盘活存量资金9804</w:t>
      </w:r>
      <w:r>
        <w:rPr>
          <w:rFonts w:hint="eastAsia" w:eastAsia="仿宋_GB2312"/>
          <w:sz w:val="32"/>
          <w:szCs w:val="32"/>
        </w:rPr>
        <w:t>万</w:t>
      </w:r>
      <w:r>
        <w:rPr>
          <w:rFonts w:eastAsia="仿宋_GB2312"/>
          <w:sz w:val="32"/>
          <w:szCs w:val="32"/>
        </w:rPr>
        <w:t>元，其中结转两年以上的专项资金5784万元、部门和财政专户结余资金4020万元，收回总预算统筹使用，弥补</w:t>
      </w:r>
      <w:r>
        <w:rPr>
          <w:rFonts w:hint="eastAsia" w:eastAsia="仿宋_GB2312"/>
          <w:sz w:val="32"/>
          <w:szCs w:val="32"/>
        </w:rPr>
        <w:t>资金</w:t>
      </w:r>
      <w:r>
        <w:rPr>
          <w:rFonts w:eastAsia="仿宋_GB2312"/>
          <w:sz w:val="32"/>
          <w:szCs w:val="32"/>
        </w:rPr>
        <w:t>缺口。</w:t>
      </w:r>
      <w:r>
        <w:rPr>
          <w:rFonts w:eastAsia="仿宋_GB2312"/>
          <w:b/>
          <w:sz w:val="32"/>
          <w:szCs w:val="32"/>
        </w:rPr>
        <w:t>四是</w:t>
      </w:r>
      <w:r>
        <w:rPr>
          <w:rFonts w:eastAsia="仿宋_GB2312"/>
          <w:sz w:val="32"/>
          <w:szCs w:val="32"/>
        </w:rPr>
        <w:t>强化预算约束。严格预算执行，除上级文件要求或县委、县政府紧急部署的重点工作，一律不追加</w:t>
      </w:r>
      <w:r>
        <w:rPr>
          <w:rFonts w:hint="eastAsia" w:eastAsia="仿宋_GB2312"/>
          <w:sz w:val="32"/>
          <w:szCs w:val="32"/>
        </w:rPr>
        <w:t>预算</w:t>
      </w:r>
      <w:r>
        <w:rPr>
          <w:rFonts w:eastAsia="仿宋_GB2312"/>
          <w:sz w:val="32"/>
          <w:szCs w:val="32"/>
        </w:rPr>
        <w:t>；始终坚持过“紧日子”，压减非急需、非刚性一般性支出，按照尽力而为、量力而行</w:t>
      </w:r>
      <w:r>
        <w:rPr>
          <w:rFonts w:hint="eastAsia" w:eastAsia="仿宋_GB2312"/>
          <w:sz w:val="32"/>
          <w:szCs w:val="32"/>
        </w:rPr>
        <w:t>的</w:t>
      </w:r>
      <w:r>
        <w:rPr>
          <w:rFonts w:eastAsia="仿宋_GB2312"/>
          <w:sz w:val="32"/>
          <w:szCs w:val="32"/>
        </w:rPr>
        <w:t>原则落实好国家和省统一民生政策，坚持 “三保”支出的优先顺序，兜牢“三保”底线</w:t>
      </w:r>
      <w:r>
        <w:rPr>
          <w:rFonts w:hint="eastAsia" w:eastAsia="仿宋_GB2312"/>
          <w:sz w:val="32"/>
          <w:szCs w:val="32"/>
        </w:rPr>
        <w:t>。全年“三保”支出20.62亿元，占一般公共预算收入的8</w:t>
      </w:r>
      <w:r>
        <w:rPr>
          <w:rFonts w:eastAsia="仿宋_GB2312"/>
          <w:sz w:val="32"/>
          <w:szCs w:val="32"/>
        </w:rPr>
        <w:t>1.5</w:t>
      </w:r>
      <w:r>
        <w:rPr>
          <w:rFonts w:hint="eastAsia" w:eastAsia="仿宋_GB2312"/>
          <w:sz w:val="32"/>
          <w:szCs w:val="32"/>
        </w:rPr>
        <w:t>%，占一般公共预算支出的38.3%。</w:t>
      </w:r>
    </w:p>
    <w:p>
      <w:pPr>
        <w:snapToGrid w:val="0"/>
        <w:spacing w:line="560" w:lineRule="exact"/>
        <w:ind w:firstLine="627" w:firstLineChars="196"/>
        <w:rPr>
          <w:rFonts w:eastAsia="仿宋_GB2312"/>
          <w:sz w:val="32"/>
          <w:szCs w:val="32"/>
        </w:rPr>
      </w:pPr>
      <w:r>
        <w:rPr>
          <w:rFonts w:eastAsia="方正楷体_GBK"/>
          <w:sz w:val="32"/>
          <w:szCs w:val="32"/>
        </w:rPr>
        <w:t>（二）实施积极财政，推动经济高质量发展。</w:t>
      </w:r>
      <w:r>
        <w:rPr>
          <w:rFonts w:eastAsia="仿宋_GB2312"/>
          <w:b/>
          <w:sz w:val="32"/>
          <w:szCs w:val="32"/>
        </w:rPr>
        <w:t>一是</w:t>
      </w:r>
      <w:r>
        <w:rPr>
          <w:rFonts w:eastAsia="仿宋_GB2312"/>
          <w:sz w:val="32"/>
          <w:szCs w:val="32"/>
        </w:rPr>
        <w:t>助力提升科技创新。</w:t>
      </w:r>
      <w:r>
        <w:rPr>
          <w:rFonts w:hint="eastAsia" w:eastAsia="仿宋_GB2312"/>
          <w:sz w:val="32"/>
          <w:szCs w:val="32"/>
        </w:rPr>
        <w:t>强化支持企业创新和人才引进与培养、创新平台载体建设的资金保障</w:t>
      </w:r>
      <w:r>
        <w:rPr>
          <w:rFonts w:eastAsia="仿宋_GB2312"/>
          <w:sz w:val="32"/>
          <w:szCs w:val="32"/>
        </w:rPr>
        <w:t>。加大科技创新投入，</w:t>
      </w:r>
      <w:r>
        <w:rPr>
          <w:rFonts w:hint="eastAsia" w:eastAsia="仿宋_GB2312"/>
          <w:sz w:val="32"/>
          <w:szCs w:val="32"/>
        </w:rPr>
        <w:t>深化校企合作，</w:t>
      </w:r>
      <w:r>
        <w:rPr>
          <w:rFonts w:eastAsia="仿宋_GB2312"/>
          <w:sz w:val="32"/>
          <w:szCs w:val="32"/>
        </w:rPr>
        <w:t>安排科技方面奖励资金1140万元</w:t>
      </w:r>
      <w:r>
        <w:rPr>
          <w:rFonts w:hint="eastAsia" w:eastAsia="仿宋_GB2312"/>
          <w:sz w:val="32"/>
          <w:szCs w:val="32"/>
        </w:rPr>
        <w:t>；</w:t>
      </w:r>
      <w:r>
        <w:rPr>
          <w:rFonts w:eastAsia="仿宋_GB2312"/>
          <w:sz w:val="32"/>
          <w:szCs w:val="32"/>
        </w:rPr>
        <w:t>安排与淮阴工学院人才科技合作经费100万元</w:t>
      </w:r>
      <w:r>
        <w:rPr>
          <w:rFonts w:hint="eastAsia" w:eastAsia="仿宋_GB2312"/>
          <w:sz w:val="32"/>
          <w:szCs w:val="32"/>
        </w:rPr>
        <w:t>；</w:t>
      </w:r>
      <w:r>
        <w:rPr>
          <w:rFonts w:eastAsia="仿宋_GB2312"/>
          <w:sz w:val="32"/>
          <w:szCs w:val="32"/>
        </w:rPr>
        <w:t>安排与江南大学、江苏大学技术转移分中心平台建设经费30万元</w:t>
      </w:r>
      <w:r>
        <w:rPr>
          <w:rFonts w:hint="eastAsia" w:eastAsia="仿宋_GB2312"/>
          <w:sz w:val="32"/>
          <w:szCs w:val="32"/>
        </w:rPr>
        <w:t>，推进产学研究协同创新；以人才优先发展为导向，安排“荷都俊才”、“荷都香才”、“3</w:t>
      </w:r>
      <w:r>
        <w:rPr>
          <w:rFonts w:eastAsia="仿宋_GB2312"/>
          <w:sz w:val="32"/>
          <w:szCs w:val="32"/>
        </w:rPr>
        <w:t>33</w:t>
      </w:r>
      <w:r>
        <w:rPr>
          <w:rFonts w:hint="eastAsia" w:eastAsia="仿宋_GB2312"/>
          <w:sz w:val="32"/>
          <w:szCs w:val="32"/>
        </w:rPr>
        <w:t>工程”、“淮上英才计划”等人才经费</w:t>
      </w:r>
      <w:r>
        <w:rPr>
          <w:rFonts w:eastAsia="仿宋_GB2312"/>
          <w:sz w:val="32"/>
          <w:szCs w:val="32"/>
        </w:rPr>
        <w:t>1040</w:t>
      </w:r>
      <w:r>
        <w:rPr>
          <w:rFonts w:hint="eastAsia" w:eastAsia="仿宋_GB2312"/>
          <w:sz w:val="32"/>
          <w:szCs w:val="32"/>
        </w:rPr>
        <w:t>万元。</w:t>
      </w:r>
      <w:r>
        <w:rPr>
          <w:rFonts w:eastAsia="仿宋_GB2312"/>
          <w:b/>
          <w:sz w:val="32"/>
          <w:szCs w:val="32"/>
        </w:rPr>
        <w:t>二是</w:t>
      </w:r>
      <w:r>
        <w:rPr>
          <w:rFonts w:eastAsia="仿宋_GB2312"/>
          <w:sz w:val="32"/>
          <w:szCs w:val="32"/>
        </w:rPr>
        <w:t>落实国家减税降费政策。</w:t>
      </w:r>
      <w:r>
        <w:rPr>
          <w:rFonts w:hint="eastAsia" w:eastAsia="仿宋_GB2312"/>
          <w:sz w:val="32"/>
          <w:szCs w:val="32"/>
        </w:rPr>
        <w:t>继续</w:t>
      </w:r>
      <w:r>
        <w:rPr>
          <w:rFonts w:eastAsia="仿宋_GB2312"/>
          <w:sz w:val="32"/>
          <w:szCs w:val="32"/>
        </w:rPr>
        <w:t>贯彻落实减税降费、稳岗援企等各项中小微企业扶持政策，及时拨付中央、省、市、县各级专项补助资金，为市场主体“减负”，增强企业发展活力</w:t>
      </w:r>
      <w:r>
        <w:rPr>
          <w:rFonts w:hint="eastAsia" w:eastAsia="仿宋_GB2312"/>
          <w:sz w:val="32"/>
          <w:szCs w:val="32"/>
        </w:rPr>
        <w:t>和后劲</w:t>
      </w:r>
      <w:r>
        <w:rPr>
          <w:rFonts w:eastAsia="仿宋_GB2312"/>
          <w:sz w:val="32"/>
          <w:szCs w:val="32"/>
        </w:rPr>
        <w:t>，全年减税降费达</w:t>
      </w:r>
      <w:r>
        <w:rPr>
          <w:rFonts w:hint="eastAsia" w:eastAsia="仿宋_GB2312"/>
          <w:sz w:val="32"/>
          <w:szCs w:val="32"/>
        </w:rPr>
        <w:t>2</w:t>
      </w:r>
      <w:r>
        <w:rPr>
          <w:rFonts w:eastAsia="仿宋_GB2312"/>
          <w:sz w:val="32"/>
          <w:szCs w:val="32"/>
        </w:rPr>
        <w:t>亿元。</w:t>
      </w:r>
      <w:r>
        <w:rPr>
          <w:rFonts w:hint="eastAsia" w:eastAsia="仿宋_GB2312"/>
          <w:b/>
          <w:sz w:val="32"/>
          <w:szCs w:val="32"/>
        </w:rPr>
        <w:t>三是</w:t>
      </w:r>
      <w:r>
        <w:rPr>
          <w:rFonts w:hint="eastAsia" w:eastAsia="仿宋_GB2312"/>
          <w:bCs/>
          <w:sz w:val="32"/>
          <w:szCs w:val="32"/>
        </w:rPr>
        <w:t>助力实体经济发展。加大企业支持力度，兑现9</w:t>
      </w:r>
      <w:r>
        <w:rPr>
          <w:rFonts w:eastAsia="仿宋_GB2312"/>
          <w:bCs/>
          <w:sz w:val="32"/>
          <w:szCs w:val="32"/>
        </w:rPr>
        <w:t>1</w:t>
      </w:r>
      <w:r>
        <w:rPr>
          <w:rFonts w:hint="eastAsia" w:eastAsia="仿宋_GB2312"/>
          <w:bCs/>
          <w:sz w:val="32"/>
          <w:szCs w:val="32"/>
        </w:rPr>
        <w:t>家企业2020年度中小企业发展专项资金3612.46万元；加强信用担保体系建设，支持企业多层次资本市场融资，金信融资担保增资至3亿元，为中小微企业担保贷款188单，累计担保贷款7.27亿元。经信金融为848户次企业办理应急转贷资金17.22亿元。淮安金晟科技小额贷款有限公司发放贷款29笔8432万元。将原“苏科贷”资金池和原“科技贷款资金池”整合为县风险补偿基金，有效解决中小微企业融资难、融资成本高的问题；打好“财政+金融”组合拳，设立1000万元担保代偿补偿资金，拨付创业担保贷款财政贴息补助资金660.22万元、省级普惠金融发展专项资金845万元，支持金融业创新发展。</w:t>
      </w:r>
      <w:r>
        <w:rPr>
          <w:rFonts w:eastAsia="仿宋_GB2312"/>
          <w:b/>
          <w:sz w:val="32"/>
          <w:szCs w:val="32"/>
        </w:rPr>
        <w:t>四是</w:t>
      </w:r>
      <w:r>
        <w:rPr>
          <w:rFonts w:eastAsia="仿宋_GB2312"/>
          <w:sz w:val="32"/>
          <w:szCs w:val="32"/>
        </w:rPr>
        <w:t>用好直达资金。严格落实直达资金管理机制，按照“快速直达”的原则，加快资金分配、拨付和使用，确保资金精准惠企利民，落地生效。我县共收到中央财政直达资金</w:t>
      </w:r>
      <w:r>
        <w:rPr>
          <w:rFonts w:hint="eastAsia" w:eastAsia="仿宋_GB2312"/>
          <w:sz w:val="32"/>
          <w:szCs w:val="32"/>
        </w:rPr>
        <w:t>2.57亿元</w:t>
      </w:r>
      <w:r>
        <w:rPr>
          <w:rFonts w:eastAsia="仿宋_GB2312"/>
          <w:sz w:val="32"/>
          <w:szCs w:val="32"/>
        </w:rPr>
        <w:t>，形成实际支出</w:t>
      </w:r>
      <w:r>
        <w:rPr>
          <w:rFonts w:hint="eastAsia" w:eastAsia="仿宋_GB2312"/>
          <w:sz w:val="32"/>
          <w:szCs w:val="32"/>
        </w:rPr>
        <w:t>2.47</w:t>
      </w:r>
      <w:r>
        <w:rPr>
          <w:rFonts w:eastAsia="仿宋_GB2312"/>
          <w:sz w:val="32"/>
          <w:szCs w:val="32"/>
        </w:rPr>
        <w:t>亿元，支出进度</w:t>
      </w:r>
      <w:r>
        <w:rPr>
          <w:rFonts w:hint="eastAsia" w:eastAsia="仿宋_GB2312"/>
          <w:sz w:val="32"/>
          <w:szCs w:val="32"/>
        </w:rPr>
        <w:t>96.1</w:t>
      </w:r>
      <w:r>
        <w:rPr>
          <w:rFonts w:eastAsia="仿宋_GB2312"/>
          <w:sz w:val="32"/>
          <w:szCs w:val="32"/>
        </w:rPr>
        <w:t>%。</w:t>
      </w:r>
    </w:p>
    <w:p>
      <w:pPr>
        <w:spacing w:line="560" w:lineRule="exact"/>
        <w:ind w:firstLine="640" w:firstLineChars="200"/>
        <w:rPr>
          <w:rFonts w:eastAsia="仿宋_GB2312"/>
          <w:color w:val="FF0000"/>
          <w:sz w:val="32"/>
          <w:szCs w:val="32"/>
        </w:rPr>
      </w:pPr>
      <w:r>
        <w:rPr>
          <w:rFonts w:eastAsia="方正楷体_GBK"/>
          <w:sz w:val="32"/>
          <w:szCs w:val="32"/>
        </w:rPr>
        <w:t>（三）统筹有效资金，着力保障和改善民生。</w:t>
      </w:r>
      <w:r>
        <w:rPr>
          <w:rFonts w:eastAsia="仿宋_GB2312"/>
          <w:b/>
          <w:sz w:val="32"/>
          <w:szCs w:val="32"/>
        </w:rPr>
        <w:t>一是</w:t>
      </w:r>
      <w:r>
        <w:rPr>
          <w:rFonts w:eastAsia="仿宋_GB2312"/>
          <w:sz w:val="32"/>
          <w:szCs w:val="32"/>
        </w:rPr>
        <w:t>稳步提高社会保障水平。基础养老金发放标准从160元/月</w:t>
      </w:r>
      <w:r>
        <w:rPr>
          <w:rFonts w:hint="eastAsia" w:eastAsia="仿宋_GB2312"/>
          <w:sz w:val="32"/>
          <w:szCs w:val="32"/>
        </w:rPr>
        <w:t>提高</w:t>
      </w:r>
      <w:r>
        <w:rPr>
          <w:rFonts w:eastAsia="仿宋_GB2312"/>
          <w:sz w:val="32"/>
          <w:szCs w:val="32"/>
        </w:rPr>
        <w:t>到193元/月，</w:t>
      </w:r>
      <w:r>
        <w:rPr>
          <w:rFonts w:hint="eastAsia" w:eastAsia="仿宋_GB2312"/>
          <w:sz w:val="32"/>
          <w:szCs w:val="32"/>
        </w:rPr>
        <w:t>城乡低保最低标准统一提高到每人每月6</w:t>
      </w:r>
      <w:r>
        <w:rPr>
          <w:rFonts w:eastAsia="仿宋_GB2312"/>
          <w:sz w:val="32"/>
          <w:szCs w:val="32"/>
        </w:rPr>
        <w:t>55</w:t>
      </w:r>
      <w:r>
        <w:rPr>
          <w:rFonts w:hint="eastAsia" w:eastAsia="仿宋_GB2312"/>
          <w:sz w:val="32"/>
          <w:szCs w:val="32"/>
        </w:rPr>
        <w:t>元。落实托底救助政策，对上报的2</w:t>
      </w:r>
      <w:r>
        <w:rPr>
          <w:rFonts w:eastAsia="仿宋_GB2312"/>
          <w:sz w:val="32"/>
          <w:szCs w:val="32"/>
        </w:rPr>
        <w:t>25</w:t>
      </w:r>
      <w:r>
        <w:rPr>
          <w:rFonts w:hint="eastAsia" w:eastAsia="仿宋_GB2312"/>
          <w:sz w:val="32"/>
          <w:szCs w:val="32"/>
        </w:rPr>
        <w:t>户特困托底救助对象真实性进行核查并纳入托底救助范围</w:t>
      </w:r>
      <w:r>
        <w:rPr>
          <w:rFonts w:eastAsia="仿宋_GB2312"/>
          <w:sz w:val="32"/>
          <w:szCs w:val="32"/>
        </w:rPr>
        <w:t>；</w:t>
      </w:r>
      <w:r>
        <w:rPr>
          <w:rFonts w:hint="eastAsia" w:eastAsia="仿宋_GB2312"/>
          <w:sz w:val="32"/>
          <w:szCs w:val="32"/>
        </w:rPr>
        <w:t>促进基本公共卫生服务均等化，按每人每年8</w:t>
      </w:r>
      <w:r>
        <w:rPr>
          <w:rFonts w:eastAsia="仿宋_GB2312"/>
          <w:sz w:val="32"/>
          <w:szCs w:val="32"/>
        </w:rPr>
        <w:t>8</w:t>
      </w:r>
      <w:r>
        <w:rPr>
          <w:rFonts w:hint="eastAsia" w:eastAsia="仿宋_GB2312"/>
          <w:sz w:val="32"/>
          <w:szCs w:val="32"/>
        </w:rPr>
        <w:t>元的标准安排</w:t>
      </w:r>
      <w:r>
        <w:rPr>
          <w:rFonts w:eastAsia="仿宋_GB2312"/>
          <w:sz w:val="32"/>
          <w:szCs w:val="32"/>
        </w:rPr>
        <w:t>基本公共卫生服务资金2926万元</w:t>
      </w:r>
      <w:r>
        <w:rPr>
          <w:rFonts w:hint="eastAsia" w:eastAsia="仿宋_GB2312"/>
          <w:sz w:val="32"/>
          <w:szCs w:val="32"/>
        </w:rPr>
        <w:t>。</w:t>
      </w:r>
      <w:r>
        <w:rPr>
          <w:rFonts w:eastAsia="仿宋_GB2312"/>
          <w:sz w:val="32"/>
          <w:szCs w:val="32"/>
        </w:rPr>
        <w:t>落实疫情防控资金保障，安排疫苗采购</w:t>
      </w:r>
      <w:r>
        <w:rPr>
          <w:rFonts w:hint="eastAsia" w:eastAsia="仿宋_GB2312"/>
          <w:sz w:val="32"/>
          <w:szCs w:val="32"/>
        </w:rPr>
        <w:t>、</w:t>
      </w:r>
      <w:r>
        <w:rPr>
          <w:rFonts w:eastAsia="仿宋_GB2312"/>
          <w:sz w:val="32"/>
          <w:szCs w:val="32"/>
        </w:rPr>
        <w:t>运输、核酸</w:t>
      </w:r>
      <w:r>
        <w:rPr>
          <w:rFonts w:hint="eastAsia" w:eastAsia="仿宋_GB2312"/>
          <w:sz w:val="32"/>
          <w:szCs w:val="32"/>
        </w:rPr>
        <w:t>检测</w:t>
      </w:r>
      <w:r>
        <w:rPr>
          <w:rFonts w:eastAsia="仿宋_GB2312"/>
          <w:sz w:val="32"/>
          <w:szCs w:val="32"/>
        </w:rPr>
        <w:t>移动方仓、</w:t>
      </w:r>
      <w:r>
        <w:rPr>
          <w:rFonts w:hint="eastAsia" w:eastAsia="仿宋_GB2312"/>
          <w:sz w:val="32"/>
          <w:szCs w:val="32"/>
        </w:rPr>
        <w:t>来金返金人员体检、隔离点、</w:t>
      </w:r>
      <w:r>
        <w:rPr>
          <w:rFonts w:eastAsia="仿宋_GB2312"/>
          <w:sz w:val="32"/>
          <w:szCs w:val="32"/>
        </w:rPr>
        <w:t>防控物资购置等费用2748.3万元</w:t>
      </w:r>
      <w:r>
        <w:rPr>
          <w:rFonts w:hint="eastAsia" w:eastAsia="仿宋_GB2312"/>
          <w:sz w:val="32"/>
          <w:szCs w:val="32"/>
        </w:rPr>
        <w:t>，确保我县疫情防控工作顺利开展</w:t>
      </w:r>
      <w:r>
        <w:rPr>
          <w:rFonts w:eastAsia="仿宋_GB2312"/>
          <w:sz w:val="32"/>
          <w:szCs w:val="32"/>
        </w:rPr>
        <w:t>。</w:t>
      </w:r>
      <w:r>
        <w:rPr>
          <w:rFonts w:eastAsia="仿宋_GB2312"/>
          <w:b/>
          <w:sz w:val="32"/>
          <w:szCs w:val="32"/>
        </w:rPr>
        <w:t>二是</w:t>
      </w:r>
      <w:r>
        <w:rPr>
          <w:rFonts w:eastAsia="仿宋_GB2312"/>
          <w:sz w:val="32"/>
          <w:szCs w:val="32"/>
        </w:rPr>
        <w:t>稳步推进教育优质均衡发展。</w:t>
      </w:r>
      <w:r>
        <w:rPr>
          <w:rFonts w:hint="eastAsia" w:eastAsia="仿宋_GB2312"/>
          <w:sz w:val="32"/>
          <w:szCs w:val="32"/>
        </w:rPr>
        <w:t>足额</w:t>
      </w:r>
      <w:r>
        <w:rPr>
          <w:rFonts w:eastAsia="仿宋_GB2312"/>
          <w:sz w:val="32"/>
          <w:szCs w:val="32"/>
        </w:rPr>
        <w:t>安排</w:t>
      </w:r>
      <w:r>
        <w:rPr>
          <w:rFonts w:hint="eastAsia" w:eastAsia="仿宋_GB2312"/>
          <w:sz w:val="32"/>
          <w:szCs w:val="32"/>
        </w:rPr>
        <w:t>教育</w:t>
      </w:r>
      <w:r>
        <w:rPr>
          <w:rFonts w:eastAsia="仿宋_GB2312"/>
          <w:sz w:val="32"/>
          <w:szCs w:val="32"/>
        </w:rPr>
        <w:t>生均公用经费2837.05万元</w:t>
      </w:r>
      <w:r>
        <w:rPr>
          <w:rFonts w:hint="eastAsia" w:eastAsia="仿宋_GB2312"/>
          <w:sz w:val="32"/>
          <w:szCs w:val="32"/>
        </w:rPr>
        <w:t>，合理支持各阶段教育发展</w:t>
      </w:r>
      <w:r>
        <w:rPr>
          <w:rFonts w:eastAsia="仿宋_GB2312"/>
          <w:sz w:val="32"/>
          <w:szCs w:val="32"/>
        </w:rPr>
        <w:t>；安排各类补助、助学金555.03万元</w:t>
      </w:r>
      <w:r>
        <w:rPr>
          <w:rFonts w:hint="eastAsia" w:eastAsia="仿宋_GB2312"/>
          <w:sz w:val="32"/>
          <w:szCs w:val="32"/>
        </w:rPr>
        <w:t>，</w:t>
      </w:r>
      <w:r>
        <w:rPr>
          <w:rFonts w:eastAsia="仿宋_GB2312"/>
          <w:sz w:val="32"/>
          <w:szCs w:val="32"/>
        </w:rPr>
        <w:t>扶持教育困难群体；安排教学质量提升工程项目经费3506万元</w:t>
      </w:r>
      <w:r>
        <w:rPr>
          <w:rFonts w:hint="eastAsia" w:eastAsia="仿宋_GB2312"/>
          <w:sz w:val="32"/>
          <w:szCs w:val="32"/>
        </w:rPr>
        <w:t>，保障教育教学高质量完成</w:t>
      </w:r>
      <w:r>
        <w:rPr>
          <w:rFonts w:eastAsia="仿宋_GB2312"/>
          <w:sz w:val="32"/>
          <w:szCs w:val="32"/>
        </w:rPr>
        <w:t>；认真贯彻落实党中央“双减”决策部署，年初预算安排中小学课后服务补助支出741万元。</w:t>
      </w:r>
      <w:r>
        <w:rPr>
          <w:rFonts w:eastAsia="仿宋_GB2312"/>
          <w:b/>
          <w:sz w:val="32"/>
          <w:szCs w:val="32"/>
        </w:rPr>
        <w:t>三是</w:t>
      </w:r>
      <w:r>
        <w:rPr>
          <w:rFonts w:hint="eastAsia" w:eastAsia="仿宋_GB2312"/>
          <w:sz w:val="32"/>
          <w:szCs w:val="32"/>
        </w:rPr>
        <w:t>加大乡村振兴建设投入</w:t>
      </w:r>
      <w:r>
        <w:rPr>
          <w:rFonts w:eastAsia="仿宋_GB2312"/>
          <w:sz w:val="32"/>
          <w:szCs w:val="32"/>
        </w:rPr>
        <w:t>。制定禁捕退捕资金管理办法，全面完成长江</w:t>
      </w:r>
      <w:r>
        <w:rPr>
          <w:rFonts w:hint="eastAsia" w:eastAsia="仿宋_GB2312"/>
          <w:sz w:val="32"/>
          <w:szCs w:val="32"/>
        </w:rPr>
        <w:t>流域</w:t>
      </w:r>
      <w:r>
        <w:rPr>
          <w:rFonts w:eastAsia="仿宋_GB2312"/>
          <w:sz w:val="32"/>
          <w:szCs w:val="32"/>
        </w:rPr>
        <w:t>禁捕退捕工作；投入8000万</w:t>
      </w:r>
      <w:r>
        <w:rPr>
          <w:rFonts w:hint="eastAsia" w:eastAsia="仿宋_GB2312"/>
          <w:sz w:val="32"/>
          <w:szCs w:val="32"/>
        </w:rPr>
        <w:t>支持</w:t>
      </w:r>
      <w:r>
        <w:rPr>
          <w:rFonts w:eastAsia="仿宋_GB2312"/>
          <w:sz w:val="32"/>
          <w:szCs w:val="32"/>
        </w:rPr>
        <w:t>农业生产发展，投入960万元扶持渔业发展；投</w:t>
      </w:r>
      <w:r>
        <w:rPr>
          <w:rFonts w:hint="eastAsia" w:eastAsia="仿宋_GB2312"/>
          <w:sz w:val="32"/>
          <w:szCs w:val="32"/>
        </w:rPr>
        <w:t>入</w:t>
      </w:r>
      <w:r>
        <w:rPr>
          <w:rFonts w:eastAsia="仿宋_GB2312"/>
          <w:sz w:val="32"/>
          <w:szCs w:val="32"/>
        </w:rPr>
        <w:t>226.44万元实施一事一议财政奖补项目8个，通过一折通发放耕地地力保护补贴5057.73万元</w:t>
      </w:r>
      <w:r>
        <w:rPr>
          <w:rFonts w:hint="eastAsia" w:eastAsia="仿宋_GB2312"/>
          <w:sz w:val="32"/>
          <w:szCs w:val="32"/>
        </w:rPr>
        <w:t>，在全市率先完成</w:t>
      </w:r>
      <w:r>
        <w:rPr>
          <w:rFonts w:eastAsia="仿宋_GB2312"/>
          <w:sz w:val="32"/>
          <w:szCs w:val="32"/>
        </w:rPr>
        <w:t>发放实际种粮农民一次性补贴1281.9万元，公布95</w:t>
      </w:r>
      <w:r>
        <w:rPr>
          <w:rFonts w:hint="eastAsia" w:eastAsia="仿宋_GB2312"/>
          <w:sz w:val="32"/>
          <w:szCs w:val="32"/>
        </w:rPr>
        <w:t>个</w:t>
      </w:r>
      <w:r>
        <w:rPr>
          <w:rFonts w:eastAsia="仿宋_GB2312"/>
          <w:sz w:val="32"/>
          <w:szCs w:val="32"/>
        </w:rPr>
        <w:t>惠民惠农补贴项目清单；</w:t>
      </w:r>
      <w:r>
        <w:rPr>
          <w:rFonts w:hint="eastAsia" w:eastAsia="仿宋_GB2312"/>
          <w:sz w:val="32"/>
          <w:szCs w:val="32"/>
        </w:rPr>
        <w:t>拨付三禽、小麦等农业保险财政补贴保费2856.13万元，有力支持带动农业保险发展。</w:t>
      </w:r>
      <w:r>
        <w:rPr>
          <w:rFonts w:eastAsia="仿宋_GB2312"/>
          <w:b/>
          <w:sz w:val="32"/>
          <w:szCs w:val="32"/>
        </w:rPr>
        <w:t>四是</w:t>
      </w:r>
      <w:r>
        <w:rPr>
          <w:rFonts w:hint="eastAsia" w:eastAsia="仿宋_GB2312"/>
          <w:sz w:val="32"/>
          <w:szCs w:val="32"/>
        </w:rPr>
        <w:t>支持繁荣文化建设</w:t>
      </w:r>
      <w:r>
        <w:rPr>
          <w:rFonts w:eastAsia="仿宋_GB2312"/>
          <w:sz w:val="32"/>
          <w:szCs w:val="32"/>
        </w:rPr>
        <w:t>。为实现全县公共文化服务全覆盖，足额安排文化服务建设经费。安排应急广播体系建设及维护费用66万元、文物非遗相关资金73万元、农村电影放映28万元、报刊图书电子图书25万元、城市书房阅读新空间运行费20万元、优秀文艺人才及成果奖励基金50万元，文化艺术中心运营经费195万元</w:t>
      </w:r>
      <w:r>
        <w:rPr>
          <w:rFonts w:hint="eastAsia" w:eastAsia="仿宋_GB2312"/>
          <w:sz w:val="32"/>
          <w:szCs w:val="32"/>
        </w:rPr>
        <w:t>，促进基本公共文化服务标准化、均等化，不断</w:t>
      </w:r>
      <w:r>
        <w:rPr>
          <w:rFonts w:eastAsia="仿宋_GB2312"/>
          <w:sz w:val="32"/>
          <w:szCs w:val="32"/>
        </w:rPr>
        <w:t>提升人民群众的获得感、幸福感</w:t>
      </w:r>
      <w:r>
        <w:rPr>
          <w:rFonts w:hint="eastAsia" w:eastAsia="仿宋_GB2312"/>
          <w:sz w:val="32"/>
          <w:szCs w:val="32"/>
        </w:rPr>
        <w:t>。</w:t>
      </w:r>
    </w:p>
    <w:p>
      <w:pPr>
        <w:spacing w:line="560" w:lineRule="exact"/>
        <w:ind w:firstLine="640" w:firstLineChars="200"/>
        <w:textAlignment w:val="bottom"/>
        <w:rPr>
          <w:rFonts w:eastAsia="仿宋_GB2312"/>
          <w:sz w:val="32"/>
          <w:szCs w:val="32"/>
          <w:lang w:val="zh-CN"/>
        </w:rPr>
      </w:pPr>
      <w:r>
        <w:rPr>
          <w:rFonts w:eastAsia="方正楷体_GBK"/>
          <w:sz w:val="32"/>
          <w:szCs w:val="32"/>
        </w:rPr>
        <w:t>（四）聚力创新创优，提升财政管理水平。</w:t>
      </w:r>
      <w:r>
        <w:rPr>
          <w:rFonts w:eastAsia="仿宋_GB2312"/>
          <w:b/>
          <w:sz w:val="32"/>
          <w:szCs w:val="32"/>
        </w:rPr>
        <w:t>一是</w:t>
      </w:r>
      <w:r>
        <w:rPr>
          <w:rFonts w:eastAsia="仿宋_GB2312"/>
          <w:sz w:val="32"/>
          <w:szCs w:val="32"/>
        </w:rPr>
        <w:t>推动预算管理一体化。按照</w:t>
      </w:r>
      <w:r>
        <w:rPr>
          <w:rFonts w:eastAsia="仿宋_GB2312"/>
          <w:kern w:val="0"/>
          <w:sz w:val="32"/>
          <w:szCs w:val="32"/>
        </w:rPr>
        <w:t>省厅预算管理一体化系统推广布置要求，衔接贯通预算编制、预算执行</w:t>
      </w:r>
      <w:r>
        <w:rPr>
          <w:rFonts w:hint="eastAsia" w:eastAsia="仿宋_GB2312"/>
          <w:kern w:val="0"/>
          <w:sz w:val="32"/>
          <w:szCs w:val="32"/>
        </w:rPr>
        <w:t>、政府采购</w:t>
      </w:r>
      <w:r>
        <w:rPr>
          <w:rFonts w:eastAsia="仿宋_GB2312"/>
          <w:kern w:val="0"/>
          <w:sz w:val="32"/>
          <w:szCs w:val="32"/>
        </w:rPr>
        <w:t>、会计核算、绩效管理等主要业务环节，</w:t>
      </w:r>
      <w:r>
        <w:rPr>
          <w:rFonts w:hint="eastAsia" w:eastAsia="仿宋_GB2312"/>
          <w:kern w:val="0"/>
          <w:sz w:val="32"/>
          <w:szCs w:val="32"/>
        </w:rPr>
        <w:t>组织</w:t>
      </w:r>
      <w:r>
        <w:rPr>
          <w:rFonts w:eastAsia="仿宋_GB2312"/>
          <w:kern w:val="0"/>
          <w:sz w:val="32"/>
          <w:szCs w:val="32"/>
        </w:rPr>
        <w:t>开展2022年度的预算编制工作，做好与人行、代理银行联调联试和预算执行跨年度衔接，</w:t>
      </w:r>
      <w:r>
        <w:rPr>
          <w:rFonts w:hint="eastAsia" w:eastAsia="仿宋_GB2312"/>
          <w:kern w:val="0"/>
          <w:sz w:val="32"/>
          <w:szCs w:val="32"/>
        </w:rPr>
        <w:t>2</w:t>
      </w:r>
      <w:r>
        <w:rPr>
          <w:rFonts w:eastAsia="仿宋_GB2312"/>
          <w:kern w:val="0"/>
          <w:sz w:val="32"/>
          <w:szCs w:val="32"/>
        </w:rPr>
        <w:t>022</w:t>
      </w:r>
      <w:r>
        <w:rPr>
          <w:rFonts w:hint="eastAsia" w:eastAsia="仿宋_GB2312"/>
          <w:kern w:val="0"/>
          <w:sz w:val="32"/>
          <w:szCs w:val="32"/>
        </w:rPr>
        <w:t>年1月1日，预算执行板块正式上线运行。</w:t>
      </w:r>
      <w:r>
        <w:rPr>
          <w:rFonts w:eastAsia="仿宋_GB2312"/>
          <w:b/>
          <w:sz w:val="32"/>
          <w:szCs w:val="32"/>
        </w:rPr>
        <w:t>二是</w:t>
      </w:r>
      <w:r>
        <w:rPr>
          <w:rFonts w:eastAsia="仿宋_GB2312"/>
          <w:sz w:val="32"/>
          <w:szCs w:val="32"/>
        </w:rPr>
        <w:t>强化预算绩效管理。全面推进预算绩效管理，高质量编制预算绩效目标和规范县级项目支出绩效评价行为，出台《金湖县县级预算绩效目标管理办法》、《金湖县县级项目支出绩效评价管理办法》、《金湖县预算绩效管理实施办法》和《金湖县预算绩效管理实施细则》等文件，</w:t>
      </w:r>
      <w:r>
        <w:rPr>
          <w:rFonts w:hint="eastAsia" w:eastAsia="仿宋_GB2312"/>
          <w:sz w:val="32"/>
          <w:szCs w:val="32"/>
        </w:rPr>
        <w:t>提升了预算管理水平和政策实施效果，为加快我县建成</w:t>
      </w:r>
      <w:r>
        <w:rPr>
          <w:rFonts w:eastAsia="仿宋_GB2312"/>
          <w:sz w:val="32"/>
          <w:szCs w:val="32"/>
        </w:rPr>
        <w:t>全方位、全过程、全覆盖的预算绩效管理体系</w:t>
      </w:r>
      <w:r>
        <w:rPr>
          <w:rFonts w:hint="eastAsia" w:eastAsia="仿宋_GB2312"/>
          <w:sz w:val="32"/>
          <w:szCs w:val="32"/>
        </w:rPr>
        <w:t>奠定了基础</w:t>
      </w:r>
      <w:r>
        <w:rPr>
          <w:rFonts w:eastAsia="仿宋_GB2312"/>
          <w:sz w:val="32"/>
          <w:szCs w:val="32"/>
        </w:rPr>
        <w:t>。</w:t>
      </w:r>
      <w:r>
        <w:rPr>
          <w:rFonts w:eastAsia="仿宋_GB2312"/>
          <w:b/>
          <w:sz w:val="32"/>
          <w:szCs w:val="32"/>
        </w:rPr>
        <w:t>三是</w:t>
      </w:r>
      <w:r>
        <w:rPr>
          <w:rFonts w:eastAsia="仿宋_GB2312"/>
          <w:sz w:val="32"/>
          <w:szCs w:val="32"/>
        </w:rPr>
        <w:t>强化国有企业改革。推进国资监管工作，出台《金湖县县管国有企业负责人年度薪酬管理暂行办法》、《金湖县属国有企业重大事项管理办法》、《金湖县属国有企业投资监督管理实施细则》、《金湖县企业国有资产监督管理暂行办法》、《金湖县级国有资本经营预算管理办法》、《金湖县国有企业竞争性领域投资监管办法》、《金湖县县管国有企业人员及工资管理暂行办法》等七个文件，逐步完善国资监管相关</w:t>
      </w:r>
      <w:r>
        <w:rPr>
          <w:rFonts w:hint="eastAsia" w:eastAsia="仿宋_GB2312"/>
          <w:sz w:val="32"/>
          <w:szCs w:val="32"/>
        </w:rPr>
        <w:t>工作</w:t>
      </w:r>
      <w:r>
        <w:rPr>
          <w:rFonts w:eastAsia="仿宋_GB2312"/>
          <w:sz w:val="32"/>
          <w:szCs w:val="32"/>
        </w:rPr>
        <w:t>制度</w:t>
      </w:r>
      <w:r>
        <w:rPr>
          <w:rFonts w:hint="eastAsia" w:eastAsia="仿宋_GB2312"/>
          <w:sz w:val="32"/>
          <w:szCs w:val="32"/>
        </w:rPr>
        <w:t>；有序推进国企改革三年行动，</w:t>
      </w:r>
      <w:r>
        <w:rPr>
          <w:rFonts w:eastAsia="仿宋_GB2312"/>
          <w:sz w:val="32"/>
          <w:szCs w:val="32"/>
        </w:rPr>
        <w:t>出台《金湖县国企改革三年行动实施方案》并印发《金湖县国企改革三年行动任务清单》</w:t>
      </w:r>
      <w:r>
        <w:rPr>
          <w:rFonts w:hint="eastAsia" w:eastAsia="仿宋_GB2312"/>
          <w:sz w:val="32"/>
          <w:szCs w:val="32"/>
        </w:rPr>
        <w:t>，目前全县1</w:t>
      </w:r>
      <w:r>
        <w:rPr>
          <w:rFonts w:eastAsia="仿宋_GB2312"/>
          <w:sz w:val="32"/>
          <w:szCs w:val="32"/>
        </w:rPr>
        <w:t>25</w:t>
      </w:r>
      <w:r>
        <w:rPr>
          <w:rFonts w:hint="eastAsia" w:eastAsia="仿宋_GB2312"/>
          <w:sz w:val="32"/>
          <w:szCs w:val="32"/>
        </w:rPr>
        <w:t>项改革任务已完成1</w:t>
      </w:r>
      <w:r>
        <w:rPr>
          <w:rFonts w:eastAsia="仿宋_GB2312"/>
          <w:sz w:val="32"/>
          <w:szCs w:val="32"/>
        </w:rPr>
        <w:t>05</w:t>
      </w:r>
      <w:r>
        <w:rPr>
          <w:rFonts w:hint="eastAsia" w:eastAsia="仿宋_GB2312"/>
          <w:sz w:val="32"/>
          <w:szCs w:val="32"/>
        </w:rPr>
        <w:t>项，完成8</w:t>
      </w:r>
      <w:r>
        <w:rPr>
          <w:rFonts w:eastAsia="仿宋_GB2312"/>
          <w:sz w:val="32"/>
          <w:szCs w:val="32"/>
        </w:rPr>
        <w:t>4</w:t>
      </w:r>
      <w:r>
        <w:rPr>
          <w:rFonts w:hint="eastAsia" w:eastAsia="仿宋_GB2312"/>
          <w:sz w:val="32"/>
          <w:szCs w:val="32"/>
        </w:rPr>
        <w:t>%；</w:t>
      </w:r>
      <w:r>
        <w:rPr>
          <w:rFonts w:eastAsia="仿宋_GB2312"/>
          <w:sz w:val="32"/>
          <w:szCs w:val="32"/>
        </w:rPr>
        <w:t>全面</w:t>
      </w:r>
      <w:r>
        <w:rPr>
          <w:rFonts w:hint="eastAsia" w:eastAsia="仿宋_GB2312"/>
          <w:sz w:val="32"/>
          <w:szCs w:val="32"/>
        </w:rPr>
        <w:t>完成</w:t>
      </w:r>
      <w:r>
        <w:rPr>
          <w:rFonts w:eastAsia="仿宋_GB2312"/>
          <w:sz w:val="32"/>
          <w:szCs w:val="32"/>
        </w:rPr>
        <w:t>全民所有制企业公司制改制</w:t>
      </w:r>
      <w:r>
        <w:rPr>
          <w:rFonts w:hint="eastAsia" w:eastAsia="仿宋_GB2312"/>
          <w:sz w:val="32"/>
          <w:szCs w:val="32"/>
        </w:rPr>
        <w:t>，</w:t>
      </w:r>
      <w:r>
        <w:rPr>
          <w:rFonts w:eastAsia="仿宋_GB2312"/>
          <w:sz w:val="32"/>
          <w:szCs w:val="32"/>
        </w:rPr>
        <w:t>推动政企分开、政资分开。</w:t>
      </w:r>
      <w:r>
        <w:rPr>
          <w:rFonts w:eastAsia="仿宋_GB2312"/>
          <w:b/>
          <w:bCs/>
          <w:sz w:val="32"/>
          <w:szCs w:val="32"/>
        </w:rPr>
        <w:t>四是</w:t>
      </w:r>
      <w:r>
        <w:rPr>
          <w:rFonts w:eastAsia="仿宋_GB2312"/>
          <w:sz w:val="32"/>
          <w:szCs w:val="32"/>
        </w:rPr>
        <w:t>推动医疗电子票据全面上线。</w:t>
      </w:r>
      <w:r>
        <w:rPr>
          <w:rFonts w:eastAsia="仿宋_GB2312"/>
          <w:sz w:val="32"/>
          <w:szCs w:val="32"/>
          <w:lang w:val="zh-CN"/>
        </w:rPr>
        <w:t>深化财政票据领域“放管服”改革，完成县级医疗卫生机构HIS系统及县（区）级卫生健康系统区域全民健康信息平台与省电子票据管理平台对接工作，全面实现我县医疗机构使用医疗收费电子票据。</w:t>
      </w:r>
      <w:r>
        <w:rPr>
          <w:rFonts w:hint="eastAsia" w:eastAsia="仿宋_GB2312"/>
          <w:b/>
          <w:bCs/>
          <w:sz w:val="32"/>
          <w:szCs w:val="32"/>
          <w:lang w:val="zh-CN"/>
        </w:rPr>
        <w:t>五是</w:t>
      </w:r>
      <w:r>
        <w:rPr>
          <w:rFonts w:hint="eastAsia" w:eastAsia="仿宋_GB2312"/>
          <w:sz w:val="32"/>
          <w:szCs w:val="32"/>
          <w:lang w:val="zh-CN"/>
        </w:rPr>
        <w:t>创新开展财务互审。积极探索创新，组织开展镇（街道）基层财政局财务互审，通过互审交流和学习解惑，强化基层财政监督管理职能，规范镇（街道）财政财务管理和财务收支行为，提升基层财政依法理财水平。</w:t>
      </w:r>
    </w:p>
    <w:p>
      <w:pPr>
        <w:spacing w:line="560" w:lineRule="exact"/>
        <w:ind w:firstLine="640" w:firstLineChars="200"/>
        <w:textAlignment w:val="bottom"/>
        <w:rPr>
          <w:rFonts w:eastAsia="仿宋_GB2312"/>
          <w:kern w:val="0"/>
          <w:sz w:val="32"/>
          <w:szCs w:val="32"/>
        </w:rPr>
      </w:pPr>
      <w:r>
        <w:rPr>
          <w:rFonts w:eastAsia="仿宋_GB2312"/>
          <w:kern w:val="0"/>
          <w:sz w:val="32"/>
          <w:szCs w:val="32"/>
        </w:rPr>
        <w:t>各位代表，过去的一年，我县财政运行总体平稳，全县财政预算执行情况总体良好，但我们也清醒认识到，财政运行中还存在一些困难和问题。一是重点领域财政资金支出需求较多，财政紧平衡仍将持续</w:t>
      </w:r>
      <w:r>
        <w:rPr>
          <w:rFonts w:hint="eastAsia" w:eastAsia="仿宋_GB2312"/>
          <w:kern w:val="0"/>
          <w:sz w:val="32"/>
          <w:szCs w:val="32"/>
        </w:rPr>
        <w:t>，财政资金调度压力较大</w:t>
      </w:r>
      <w:r>
        <w:rPr>
          <w:rFonts w:eastAsia="仿宋_GB2312"/>
          <w:kern w:val="0"/>
          <w:sz w:val="32"/>
          <w:szCs w:val="32"/>
        </w:rPr>
        <w:t>。二是</w:t>
      </w:r>
      <w:r>
        <w:rPr>
          <w:rFonts w:hint="eastAsia" w:eastAsia="仿宋_GB2312"/>
          <w:kern w:val="0"/>
          <w:sz w:val="32"/>
          <w:szCs w:val="32"/>
        </w:rPr>
        <w:t>全力保障</w:t>
      </w:r>
      <w:r>
        <w:rPr>
          <w:rFonts w:eastAsia="仿宋_GB2312"/>
          <w:kern w:val="0"/>
          <w:sz w:val="32"/>
          <w:szCs w:val="32"/>
        </w:rPr>
        <w:t>“</w:t>
      </w:r>
      <w:r>
        <w:rPr>
          <w:rFonts w:hint="eastAsia" w:eastAsia="仿宋_GB2312"/>
          <w:kern w:val="0"/>
          <w:sz w:val="32"/>
          <w:szCs w:val="32"/>
        </w:rPr>
        <w:t>三保</w:t>
      </w:r>
      <w:r>
        <w:rPr>
          <w:rFonts w:eastAsia="仿宋_GB2312"/>
          <w:kern w:val="0"/>
          <w:sz w:val="32"/>
          <w:szCs w:val="32"/>
        </w:rPr>
        <w:t>”</w:t>
      </w:r>
      <w:r>
        <w:rPr>
          <w:rFonts w:hint="eastAsia" w:eastAsia="仿宋_GB2312"/>
          <w:kern w:val="0"/>
          <w:sz w:val="32"/>
          <w:szCs w:val="32"/>
        </w:rPr>
        <w:t>支出仍</w:t>
      </w:r>
      <w:r>
        <w:rPr>
          <w:rFonts w:eastAsia="仿宋_GB2312"/>
          <w:kern w:val="0"/>
          <w:sz w:val="32"/>
          <w:szCs w:val="32"/>
        </w:rPr>
        <w:t>是财政工作重中之重，</w:t>
      </w:r>
      <w:r>
        <w:rPr>
          <w:rFonts w:hint="eastAsia" w:eastAsia="仿宋_GB2312"/>
          <w:kern w:val="0"/>
          <w:sz w:val="32"/>
          <w:szCs w:val="32"/>
        </w:rPr>
        <w:t>随着民生标准的提高以及公务人员工资的自然增长，可用财力的增长已不足支撑刚性支出的增长。</w:t>
      </w:r>
      <w:r>
        <w:rPr>
          <w:rFonts w:eastAsia="仿宋_GB2312"/>
          <w:kern w:val="0"/>
          <w:sz w:val="32"/>
          <w:szCs w:val="32"/>
        </w:rPr>
        <w:t>三是隐性债务化解</w:t>
      </w:r>
      <w:r>
        <w:rPr>
          <w:rFonts w:hint="eastAsia" w:eastAsia="仿宋_GB2312"/>
          <w:kern w:val="0"/>
          <w:sz w:val="32"/>
          <w:szCs w:val="32"/>
        </w:rPr>
        <w:t>难度</w:t>
      </w:r>
      <w:r>
        <w:rPr>
          <w:rFonts w:eastAsia="仿宋_GB2312"/>
          <w:kern w:val="0"/>
          <w:sz w:val="32"/>
          <w:szCs w:val="32"/>
        </w:rPr>
        <w:t>较大。针对这些问题，我们将高度重视，努力加以研究解决。</w:t>
      </w:r>
    </w:p>
    <w:p>
      <w:pPr>
        <w:adjustRightInd w:val="0"/>
        <w:snapToGrid w:val="0"/>
        <w:spacing w:line="560" w:lineRule="exact"/>
        <w:ind w:firstLine="640" w:firstLineChars="200"/>
        <w:rPr>
          <w:rFonts w:eastAsia="黑体"/>
          <w:snapToGrid w:val="0"/>
          <w:sz w:val="32"/>
          <w:szCs w:val="32"/>
        </w:rPr>
      </w:pPr>
      <w:r>
        <w:rPr>
          <w:rFonts w:eastAsia="黑体"/>
          <w:snapToGrid w:val="0"/>
          <w:sz w:val="32"/>
          <w:szCs w:val="32"/>
        </w:rPr>
        <w:t>三、2022年财政预算（草案）</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根据县政府常务会议讨论意见，我县2022年财政预算（草案）为：</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（一）一般公共预算收支安排情况</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全县一般公共预算收入目标为27.15亿元（增幅7.3%）。全县安排一般公共预算支出为</w:t>
      </w:r>
      <w:r>
        <w:rPr>
          <w:rFonts w:hint="eastAsia" w:eastAsia="仿宋_GB2312"/>
          <w:snapToGrid w:val="0"/>
          <w:sz w:val="32"/>
          <w:szCs w:val="32"/>
        </w:rPr>
        <w:t>60.07</w:t>
      </w:r>
      <w:r>
        <w:rPr>
          <w:rFonts w:eastAsia="仿宋_GB2312"/>
          <w:snapToGrid w:val="0"/>
          <w:sz w:val="32"/>
          <w:szCs w:val="32"/>
        </w:rPr>
        <w:t>亿元。</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县本级一般公共预算收入目标为10亿元，上级补助收入</w:t>
      </w:r>
      <w:r>
        <w:rPr>
          <w:rFonts w:hint="eastAsia" w:eastAsia="仿宋_GB2312"/>
          <w:snapToGrid w:val="0"/>
          <w:sz w:val="32"/>
          <w:szCs w:val="32"/>
        </w:rPr>
        <w:t>1</w:t>
      </w:r>
      <w:r>
        <w:rPr>
          <w:rFonts w:eastAsia="仿宋_GB2312"/>
          <w:snapToGrid w:val="0"/>
          <w:sz w:val="32"/>
          <w:szCs w:val="32"/>
        </w:rPr>
        <w:t>6.3亿元，上年结转</w:t>
      </w:r>
      <w:r>
        <w:rPr>
          <w:rFonts w:hint="eastAsia" w:eastAsia="仿宋_GB2312"/>
          <w:snapToGrid w:val="0"/>
          <w:sz w:val="32"/>
          <w:szCs w:val="32"/>
        </w:rPr>
        <w:t>2.41</w:t>
      </w:r>
      <w:r>
        <w:rPr>
          <w:rFonts w:eastAsia="仿宋_GB2312"/>
          <w:snapToGrid w:val="0"/>
          <w:sz w:val="32"/>
          <w:szCs w:val="32"/>
        </w:rPr>
        <w:t>亿元，地方政府一般债券转贷收入4.5亿元，镇级上解收入</w:t>
      </w:r>
      <w:r>
        <w:rPr>
          <w:rFonts w:hint="eastAsia" w:eastAsia="仿宋_GB2312"/>
          <w:snapToGrid w:val="0"/>
          <w:sz w:val="32"/>
          <w:szCs w:val="32"/>
        </w:rPr>
        <w:t>4</w:t>
      </w:r>
      <w:r>
        <w:rPr>
          <w:rFonts w:eastAsia="仿宋_GB2312"/>
          <w:snapToGrid w:val="0"/>
          <w:sz w:val="32"/>
          <w:szCs w:val="32"/>
        </w:rPr>
        <w:t>.0</w:t>
      </w:r>
      <w:r>
        <w:rPr>
          <w:rFonts w:hint="eastAsia" w:eastAsia="仿宋_GB2312"/>
          <w:snapToGrid w:val="0"/>
          <w:sz w:val="32"/>
          <w:szCs w:val="32"/>
        </w:rPr>
        <w:t>9</w:t>
      </w:r>
      <w:r>
        <w:rPr>
          <w:rFonts w:eastAsia="仿宋_GB2312"/>
          <w:snapToGrid w:val="0"/>
          <w:sz w:val="32"/>
          <w:szCs w:val="32"/>
        </w:rPr>
        <w:t>亿元，调入资金1</w:t>
      </w:r>
      <w:r>
        <w:rPr>
          <w:rFonts w:hint="eastAsia" w:eastAsia="仿宋_GB2312"/>
          <w:snapToGrid w:val="0"/>
          <w:sz w:val="32"/>
          <w:szCs w:val="32"/>
        </w:rPr>
        <w:t>8.18</w:t>
      </w:r>
      <w:r>
        <w:rPr>
          <w:rFonts w:eastAsia="仿宋_GB2312"/>
          <w:snapToGrid w:val="0"/>
          <w:sz w:val="32"/>
          <w:szCs w:val="32"/>
        </w:rPr>
        <w:t>亿元，收入合计5</w:t>
      </w:r>
      <w:r>
        <w:rPr>
          <w:rFonts w:hint="eastAsia" w:eastAsia="仿宋_GB2312"/>
          <w:snapToGrid w:val="0"/>
          <w:sz w:val="32"/>
          <w:szCs w:val="32"/>
        </w:rPr>
        <w:t>5.48</w:t>
      </w:r>
      <w:r>
        <w:rPr>
          <w:rFonts w:eastAsia="仿宋_GB2312"/>
          <w:snapToGrid w:val="0"/>
          <w:sz w:val="32"/>
          <w:szCs w:val="32"/>
        </w:rPr>
        <w:t>亿元。县本级安排一般公共预算支出44.</w:t>
      </w:r>
      <w:r>
        <w:rPr>
          <w:rFonts w:hint="eastAsia" w:eastAsia="仿宋_GB2312"/>
          <w:snapToGrid w:val="0"/>
          <w:sz w:val="32"/>
          <w:szCs w:val="32"/>
        </w:rPr>
        <w:t>86</w:t>
      </w:r>
      <w:r>
        <w:rPr>
          <w:rFonts w:eastAsia="仿宋_GB2312"/>
          <w:snapToGrid w:val="0"/>
          <w:sz w:val="32"/>
          <w:szCs w:val="32"/>
        </w:rPr>
        <w:t>亿元，上解上级支出5.2亿元，补助镇级支出2.14亿元，债务还本支出3.28亿元，支出合计5</w:t>
      </w:r>
      <w:r>
        <w:rPr>
          <w:rFonts w:hint="eastAsia" w:eastAsia="仿宋_GB2312"/>
          <w:snapToGrid w:val="0"/>
          <w:sz w:val="32"/>
          <w:szCs w:val="32"/>
        </w:rPr>
        <w:t>5.48</w:t>
      </w:r>
      <w:r>
        <w:rPr>
          <w:rFonts w:eastAsia="仿宋_GB2312"/>
          <w:snapToGrid w:val="0"/>
          <w:sz w:val="32"/>
          <w:szCs w:val="32"/>
        </w:rPr>
        <w:t>亿元，收支平衡。</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县经济开发区一般公共预算收入8.36亿元，一般公共预算支出8.36亿元，主要支出项目有：一般公共服务支出9160万元、社会保障和就业支出54万元、卫生健康支出27万元、资源勘探信息等支出74189</w:t>
      </w:r>
      <w:r>
        <w:rPr>
          <w:rFonts w:hint="eastAsia" w:eastAsia="仿宋_GB2312"/>
          <w:snapToGrid w:val="0"/>
          <w:sz w:val="32"/>
          <w:szCs w:val="32"/>
        </w:rPr>
        <w:t>万</w:t>
      </w:r>
      <w:r>
        <w:rPr>
          <w:rFonts w:eastAsia="仿宋_GB2312"/>
          <w:snapToGrid w:val="0"/>
          <w:sz w:val="32"/>
          <w:szCs w:val="32"/>
        </w:rPr>
        <w:t>元</w:t>
      </w:r>
      <w:r>
        <w:rPr>
          <w:rFonts w:hint="eastAsia" w:eastAsia="仿宋_GB2312"/>
          <w:snapToGrid w:val="0"/>
          <w:sz w:val="32"/>
          <w:szCs w:val="32"/>
        </w:rPr>
        <w:t>、住房保障支出1</w:t>
      </w:r>
      <w:r>
        <w:rPr>
          <w:rFonts w:eastAsia="仿宋_GB2312"/>
          <w:snapToGrid w:val="0"/>
          <w:sz w:val="32"/>
          <w:szCs w:val="32"/>
        </w:rPr>
        <w:t>86</w:t>
      </w:r>
      <w:r>
        <w:rPr>
          <w:rFonts w:hint="eastAsia" w:eastAsia="仿宋_GB2312"/>
          <w:snapToGrid w:val="0"/>
          <w:sz w:val="32"/>
          <w:szCs w:val="32"/>
        </w:rPr>
        <w:t>万元</w:t>
      </w:r>
      <w:r>
        <w:rPr>
          <w:rFonts w:eastAsia="仿宋_GB2312"/>
          <w:snapToGrid w:val="0"/>
          <w:sz w:val="32"/>
          <w:szCs w:val="32"/>
        </w:rPr>
        <w:t>。</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黎城街道一般公共预算收入3.</w:t>
      </w:r>
      <w:r>
        <w:rPr>
          <w:rFonts w:hint="eastAsia" w:eastAsia="仿宋_GB2312"/>
          <w:snapToGrid w:val="0"/>
          <w:sz w:val="32"/>
          <w:szCs w:val="32"/>
        </w:rPr>
        <w:t>65</w:t>
      </w:r>
      <w:r>
        <w:rPr>
          <w:rFonts w:eastAsia="仿宋_GB2312"/>
          <w:snapToGrid w:val="0"/>
          <w:sz w:val="32"/>
          <w:szCs w:val="32"/>
        </w:rPr>
        <w:t>亿元，一般公共预算支出2.54亿元，主要支出项目有：一般公共服务支出6674万元、</w:t>
      </w:r>
      <w:r>
        <w:rPr>
          <w:rFonts w:hint="eastAsia" w:eastAsia="仿宋_GB2312"/>
          <w:snapToGrid w:val="0"/>
          <w:sz w:val="32"/>
          <w:szCs w:val="32"/>
        </w:rPr>
        <w:t>国防支出30万元、</w:t>
      </w:r>
      <w:r>
        <w:rPr>
          <w:rFonts w:eastAsia="仿宋_GB2312"/>
          <w:snapToGrid w:val="0"/>
          <w:sz w:val="32"/>
          <w:szCs w:val="32"/>
        </w:rPr>
        <w:t>公共安全支出1345万元、教育支出260万元、科学技术支出</w:t>
      </w:r>
      <w:r>
        <w:rPr>
          <w:rFonts w:hint="eastAsia" w:eastAsia="仿宋_GB2312"/>
          <w:snapToGrid w:val="0"/>
          <w:sz w:val="32"/>
          <w:szCs w:val="32"/>
        </w:rPr>
        <w:t>1</w:t>
      </w:r>
      <w:r>
        <w:rPr>
          <w:rFonts w:eastAsia="仿宋_GB2312"/>
          <w:snapToGrid w:val="0"/>
          <w:sz w:val="32"/>
          <w:szCs w:val="32"/>
        </w:rPr>
        <w:t>000万元、</w:t>
      </w:r>
      <w:r>
        <w:rPr>
          <w:rFonts w:hint="eastAsia" w:eastAsia="仿宋_GB2312"/>
          <w:snapToGrid w:val="0"/>
          <w:sz w:val="32"/>
          <w:szCs w:val="32"/>
        </w:rPr>
        <w:t>文化旅游体育与传媒支出115万元、</w:t>
      </w:r>
      <w:r>
        <w:rPr>
          <w:rFonts w:eastAsia="仿宋_GB2312"/>
          <w:snapToGrid w:val="0"/>
          <w:sz w:val="32"/>
          <w:szCs w:val="32"/>
        </w:rPr>
        <w:t>社会保障和就业支出3536万元、卫生健康支出4320万元、</w:t>
      </w:r>
      <w:r>
        <w:rPr>
          <w:rFonts w:hint="eastAsia" w:eastAsia="仿宋_GB2312"/>
          <w:snapToGrid w:val="0"/>
          <w:sz w:val="32"/>
          <w:szCs w:val="32"/>
        </w:rPr>
        <w:t>节能环保支出150万元、</w:t>
      </w:r>
      <w:r>
        <w:rPr>
          <w:rFonts w:eastAsia="仿宋_GB2312"/>
          <w:snapToGrid w:val="0"/>
          <w:sz w:val="32"/>
          <w:szCs w:val="32"/>
        </w:rPr>
        <w:t>城乡社区支出936万元、农林水支出1018万元、资源勘探信息支出5640万元</w:t>
      </w:r>
      <w:r>
        <w:rPr>
          <w:rFonts w:hint="eastAsia" w:eastAsia="仿宋_GB2312"/>
          <w:snapToGrid w:val="0"/>
          <w:sz w:val="32"/>
          <w:szCs w:val="32"/>
        </w:rPr>
        <w:t>、自然资源海洋气象等支出4万元、住房保障支出400万元</w:t>
      </w:r>
      <w:r>
        <w:rPr>
          <w:rFonts w:eastAsia="仿宋_GB2312"/>
          <w:snapToGrid w:val="0"/>
          <w:sz w:val="32"/>
          <w:szCs w:val="32"/>
        </w:rPr>
        <w:t>。</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戴楼街道一般公共预算收入</w:t>
      </w:r>
      <w:r>
        <w:rPr>
          <w:rFonts w:hint="eastAsia" w:eastAsia="仿宋_GB2312"/>
          <w:snapToGrid w:val="0"/>
          <w:sz w:val="32"/>
          <w:szCs w:val="32"/>
        </w:rPr>
        <w:t>1.06</w:t>
      </w:r>
      <w:r>
        <w:rPr>
          <w:rFonts w:eastAsia="仿宋_GB2312"/>
          <w:snapToGrid w:val="0"/>
          <w:sz w:val="32"/>
          <w:szCs w:val="32"/>
        </w:rPr>
        <w:t>亿元，一般公共预算支出0.</w:t>
      </w:r>
      <w:r>
        <w:rPr>
          <w:rFonts w:hint="eastAsia" w:eastAsia="仿宋_GB2312"/>
          <w:snapToGrid w:val="0"/>
          <w:sz w:val="32"/>
          <w:szCs w:val="32"/>
        </w:rPr>
        <w:t>85</w:t>
      </w:r>
      <w:r>
        <w:rPr>
          <w:rFonts w:eastAsia="仿宋_GB2312"/>
          <w:snapToGrid w:val="0"/>
          <w:sz w:val="32"/>
          <w:szCs w:val="32"/>
        </w:rPr>
        <w:t>亿元，主要支出项目有：一般公共服务支出1850万元、</w:t>
      </w:r>
      <w:r>
        <w:rPr>
          <w:rFonts w:hint="eastAsia" w:eastAsia="仿宋_GB2312"/>
          <w:snapToGrid w:val="0"/>
          <w:sz w:val="32"/>
          <w:szCs w:val="32"/>
        </w:rPr>
        <w:t>国防支出2万元、公共安全支出121万元、</w:t>
      </w:r>
      <w:r>
        <w:rPr>
          <w:rFonts w:eastAsia="仿宋_GB2312"/>
          <w:snapToGrid w:val="0"/>
          <w:sz w:val="32"/>
          <w:szCs w:val="32"/>
        </w:rPr>
        <w:t>教育支出153万元、科学技术支出750万元、</w:t>
      </w:r>
      <w:r>
        <w:rPr>
          <w:rFonts w:hint="eastAsia" w:eastAsia="仿宋_GB2312"/>
          <w:snapToGrid w:val="0"/>
          <w:sz w:val="32"/>
          <w:szCs w:val="32"/>
        </w:rPr>
        <w:t>文化旅游体育与传媒支出50万元、</w:t>
      </w:r>
      <w:r>
        <w:rPr>
          <w:rFonts w:eastAsia="仿宋_GB2312"/>
          <w:snapToGrid w:val="0"/>
          <w:sz w:val="32"/>
          <w:szCs w:val="32"/>
        </w:rPr>
        <w:t>社会保障和就业支出508万元、卫生健康支出624万元、节能环保支出100万元、</w:t>
      </w:r>
      <w:r>
        <w:rPr>
          <w:rFonts w:hint="eastAsia" w:eastAsia="仿宋_GB2312"/>
          <w:snapToGrid w:val="0"/>
          <w:sz w:val="32"/>
          <w:szCs w:val="32"/>
        </w:rPr>
        <w:t>城乡社区支出55万元、</w:t>
      </w:r>
      <w:r>
        <w:rPr>
          <w:rFonts w:eastAsia="仿宋_GB2312"/>
          <w:snapToGrid w:val="0"/>
          <w:sz w:val="32"/>
          <w:szCs w:val="32"/>
        </w:rPr>
        <w:t>农林水支出600万元、资源勘探信息等支出</w:t>
      </w:r>
      <w:r>
        <w:rPr>
          <w:rFonts w:hint="eastAsia" w:eastAsia="仿宋_GB2312"/>
          <w:snapToGrid w:val="0"/>
          <w:sz w:val="32"/>
          <w:szCs w:val="32"/>
        </w:rPr>
        <w:t>3600</w:t>
      </w:r>
      <w:r>
        <w:rPr>
          <w:rFonts w:eastAsia="仿宋_GB2312"/>
          <w:snapToGrid w:val="0"/>
          <w:sz w:val="32"/>
          <w:szCs w:val="32"/>
        </w:rPr>
        <w:t>万元</w:t>
      </w:r>
      <w:r>
        <w:rPr>
          <w:rFonts w:hint="eastAsia" w:eastAsia="仿宋_GB2312"/>
          <w:snapToGrid w:val="0"/>
          <w:sz w:val="32"/>
          <w:szCs w:val="32"/>
        </w:rPr>
        <w:t>、自然资源海洋气象等支出4万元、住房保障支出130万元</w:t>
      </w:r>
      <w:r>
        <w:rPr>
          <w:rFonts w:eastAsia="仿宋_GB2312"/>
          <w:snapToGrid w:val="0"/>
          <w:sz w:val="32"/>
          <w:szCs w:val="32"/>
        </w:rPr>
        <w:t>。</w:t>
      </w:r>
    </w:p>
    <w:p>
      <w:pPr>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金北街道一般公共预算收入0.8亿元，一般公共预算支出0.8亿元，主要支出项目有：一般公共服务支出2</w:t>
      </w:r>
      <w:r>
        <w:rPr>
          <w:rFonts w:hint="eastAsia" w:eastAsia="仿宋_GB2312"/>
          <w:snapToGrid w:val="0"/>
          <w:sz w:val="32"/>
          <w:szCs w:val="32"/>
        </w:rPr>
        <w:t>4</w:t>
      </w:r>
      <w:r>
        <w:rPr>
          <w:rFonts w:eastAsia="仿宋_GB2312"/>
          <w:snapToGrid w:val="0"/>
          <w:sz w:val="32"/>
          <w:szCs w:val="32"/>
        </w:rPr>
        <w:t>10万元、</w:t>
      </w:r>
      <w:r>
        <w:rPr>
          <w:rFonts w:hint="eastAsia" w:eastAsia="仿宋_GB2312"/>
          <w:snapToGrid w:val="0"/>
          <w:sz w:val="32"/>
          <w:szCs w:val="32"/>
        </w:rPr>
        <w:t>国防支出3万元、公共安全支出265万元、</w:t>
      </w:r>
      <w:r>
        <w:rPr>
          <w:rFonts w:eastAsia="仿宋_GB2312"/>
          <w:snapToGrid w:val="0"/>
          <w:sz w:val="32"/>
          <w:szCs w:val="32"/>
        </w:rPr>
        <w:t>教育支出150万元、科学技术支出150万元、</w:t>
      </w:r>
      <w:r>
        <w:rPr>
          <w:rFonts w:hint="eastAsia" w:eastAsia="仿宋_GB2312"/>
          <w:snapToGrid w:val="0"/>
          <w:sz w:val="32"/>
          <w:szCs w:val="32"/>
        </w:rPr>
        <w:t>文化旅游体育与传媒支出90万元、</w:t>
      </w:r>
      <w:r>
        <w:rPr>
          <w:rFonts w:eastAsia="仿宋_GB2312"/>
          <w:snapToGrid w:val="0"/>
          <w:sz w:val="32"/>
          <w:szCs w:val="32"/>
        </w:rPr>
        <w:t>社会保障和就业支出</w:t>
      </w:r>
      <w:r>
        <w:rPr>
          <w:rFonts w:hint="eastAsia" w:eastAsia="仿宋_GB2312"/>
          <w:snapToGrid w:val="0"/>
          <w:sz w:val="32"/>
          <w:szCs w:val="32"/>
        </w:rPr>
        <w:t>2</w:t>
      </w:r>
      <w:r>
        <w:rPr>
          <w:rFonts w:eastAsia="仿宋_GB2312"/>
          <w:snapToGrid w:val="0"/>
          <w:sz w:val="32"/>
          <w:szCs w:val="32"/>
        </w:rPr>
        <w:t>35万元、卫生健康支出</w:t>
      </w:r>
      <w:r>
        <w:rPr>
          <w:rFonts w:hint="eastAsia" w:eastAsia="仿宋_GB2312"/>
          <w:snapToGrid w:val="0"/>
          <w:sz w:val="32"/>
          <w:szCs w:val="32"/>
        </w:rPr>
        <w:t>3</w:t>
      </w:r>
      <w:r>
        <w:rPr>
          <w:rFonts w:eastAsia="仿宋_GB2312"/>
          <w:snapToGrid w:val="0"/>
          <w:sz w:val="32"/>
          <w:szCs w:val="32"/>
        </w:rPr>
        <w:t>78万元、城乡社区支出</w:t>
      </w:r>
      <w:r>
        <w:rPr>
          <w:rFonts w:hint="eastAsia" w:eastAsia="仿宋_GB2312"/>
          <w:snapToGrid w:val="0"/>
          <w:sz w:val="32"/>
          <w:szCs w:val="32"/>
        </w:rPr>
        <w:t>1</w:t>
      </w:r>
      <w:r>
        <w:rPr>
          <w:rFonts w:eastAsia="仿宋_GB2312"/>
          <w:snapToGrid w:val="0"/>
          <w:sz w:val="32"/>
          <w:szCs w:val="32"/>
        </w:rPr>
        <w:t>30万元、农林水支出</w:t>
      </w:r>
      <w:r>
        <w:rPr>
          <w:rFonts w:hint="eastAsia" w:eastAsia="仿宋_GB2312"/>
          <w:snapToGrid w:val="0"/>
          <w:sz w:val="32"/>
          <w:szCs w:val="32"/>
        </w:rPr>
        <w:t>16</w:t>
      </w:r>
      <w:r>
        <w:rPr>
          <w:rFonts w:eastAsia="仿宋_GB2312"/>
          <w:snapToGrid w:val="0"/>
          <w:sz w:val="32"/>
          <w:szCs w:val="32"/>
        </w:rPr>
        <w:t>46万元、资源勘探信息等支出2343万元</w:t>
      </w:r>
      <w:r>
        <w:rPr>
          <w:rFonts w:hint="eastAsia" w:eastAsia="仿宋_GB2312"/>
          <w:snapToGrid w:val="0"/>
          <w:sz w:val="32"/>
          <w:szCs w:val="32"/>
        </w:rPr>
        <w:t>、住房保障支出200万元</w:t>
      </w:r>
      <w:r>
        <w:rPr>
          <w:rFonts w:eastAsia="仿宋_GB2312"/>
          <w:snapToGrid w:val="0"/>
          <w:sz w:val="32"/>
          <w:szCs w:val="32"/>
        </w:rPr>
        <w:t>。</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（二）政府性基金预算收支安排情况</w:t>
      </w:r>
    </w:p>
    <w:p>
      <w:pPr>
        <w:adjustRightInd w:val="0"/>
        <w:snapToGrid w:val="0"/>
        <w:spacing w:line="560" w:lineRule="exact"/>
        <w:ind w:firstLine="640" w:firstLineChars="200"/>
        <w:rPr>
          <w:rFonts w:eastAsia="仿宋_GB2312"/>
          <w:sz w:val="32"/>
          <w:szCs w:val="32"/>
        </w:rPr>
      </w:pPr>
      <w:r>
        <w:rPr>
          <w:rFonts w:eastAsia="仿宋_GB2312"/>
          <w:sz w:val="32"/>
          <w:szCs w:val="32"/>
        </w:rPr>
        <w:t>全县政府性基金收入目标为2</w:t>
      </w:r>
      <w:r>
        <w:rPr>
          <w:rFonts w:hint="eastAsia" w:eastAsia="仿宋_GB2312"/>
          <w:sz w:val="32"/>
          <w:szCs w:val="32"/>
        </w:rPr>
        <w:t>6.3</w:t>
      </w:r>
      <w:r>
        <w:rPr>
          <w:rFonts w:eastAsia="仿宋_GB2312"/>
          <w:sz w:val="32"/>
          <w:szCs w:val="32"/>
        </w:rPr>
        <w:t>亿元，全县安排政府性基金支出为</w:t>
      </w:r>
      <w:r>
        <w:rPr>
          <w:rFonts w:hint="eastAsia" w:eastAsia="仿宋_GB2312"/>
          <w:sz w:val="32"/>
          <w:szCs w:val="32"/>
        </w:rPr>
        <w:t>20.15</w:t>
      </w:r>
      <w:r>
        <w:rPr>
          <w:rFonts w:eastAsia="仿宋_GB2312"/>
          <w:sz w:val="32"/>
          <w:szCs w:val="32"/>
        </w:rPr>
        <w:t>亿元。</w:t>
      </w:r>
    </w:p>
    <w:p>
      <w:pPr>
        <w:adjustRightInd w:val="0"/>
        <w:snapToGrid w:val="0"/>
        <w:spacing w:line="560" w:lineRule="exact"/>
        <w:ind w:firstLine="640" w:firstLineChars="200"/>
        <w:rPr>
          <w:rFonts w:eastAsia="仿宋_GB2312"/>
          <w:sz w:val="32"/>
          <w:szCs w:val="32"/>
        </w:rPr>
      </w:pPr>
      <w:r>
        <w:rPr>
          <w:rFonts w:eastAsia="仿宋_GB2312"/>
          <w:sz w:val="32"/>
          <w:szCs w:val="32"/>
        </w:rPr>
        <w:t>县本级政府性基金收入目标为</w:t>
      </w:r>
      <w:r>
        <w:rPr>
          <w:rFonts w:hint="eastAsia" w:eastAsia="仿宋_GB2312"/>
          <w:sz w:val="32"/>
          <w:szCs w:val="32"/>
        </w:rPr>
        <w:t>26.3</w:t>
      </w:r>
      <w:r>
        <w:rPr>
          <w:rFonts w:eastAsia="仿宋_GB2312"/>
          <w:sz w:val="32"/>
          <w:szCs w:val="32"/>
        </w:rPr>
        <w:t>亿元，其中：国有土地使用权出让收入</w:t>
      </w:r>
      <w:r>
        <w:rPr>
          <w:rFonts w:hint="eastAsia" w:eastAsia="仿宋_GB2312"/>
          <w:sz w:val="32"/>
          <w:szCs w:val="32"/>
        </w:rPr>
        <w:t>25.97</w:t>
      </w:r>
      <w:r>
        <w:rPr>
          <w:rFonts w:eastAsia="仿宋_GB2312"/>
          <w:sz w:val="32"/>
          <w:szCs w:val="32"/>
        </w:rPr>
        <w:t>亿元，城市基本设施配套费收入0.19亿元，污水处理费收入0.05亿元，彩票公益金收入0.07亿元，彩票发行机构和彩票销售机构的业务费收入0.02亿元。上年结转</w:t>
      </w:r>
      <w:r>
        <w:rPr>
          <w:rFonts w:hint="eastAsia" w:eastAsia="仿宋_GB2312"/>
          <w:sz w:val="32"/>
          <w:szCs w:val="32"/>
        </w:rPr>
        <w:t>0.91</w:t>
      </w:r>
      <w:r>
        <w:rPr>
          <w:rFonts w:eastAsia="仿宋_GB2312"/>
          <w:sz w:val="32"/>
          <w:szCs w:val="32"/>
        </w:rPr>
        <w:t>亿元，地方政府专项债券转贷收入10.79亿元，收入合计3</w:t>
      </w:r>
      <w:r>
        <w:rPr>
          <w:rFonts w:hint="eastAsia" w:eastAsia="仿宋_GB2312"/>
          <w:sz w:val="32"/>
          <w:szCs w:val="32"/>
        </w:rPr>
        <w:t>8</w:t>
      </w:r>
      <w:r>
        <w:rPr>
          <w:rFonts w:eastAsia="仿宋_GB2312"/>
          <w:sz w:val="32"/>
          <w:szCs w:val="32"/>
        </w:rPr>
        <w:t>亿元。县本级安排政府性基金支出</w:t>
      </w:r>
      <w:r>
        <w:rPr>
          <w:rFonts w:hint="eastAsia" w:eastAsia="仿宋_GB2312"/>
          <w:sz w:val="32"/>
          <w:szCs w:val="32"/>
        </w:rPr>
        <w:t>18.15</w:t>
      </w:r>
      <w:r>
        <w:rPr>
          <w:rFonts w:eastAsia="仿宋_GB2312"/>
          <w:sz w:val="32"/>
          <w:szCs w:val="32"/>
        </w:rPr>
        <w:t>亿元，补助下级支出2亿元，调出资金12.</w:t>
      </w:r>
      <w:r>
        <w:rPr>
          <w:rFonts w:hint="eastAsia" w:eastAsia="仿宋_GB2312"/>
          <w:sz w:val="32"/>
          <w:szCs w:val="32"/>
        </w:rPr>
        <w:t>83</w:t>
      </w:r>
      <w:r>
        <w:rPr>
          <w:rFonts w:eastAsia="仿宋_GB2312"/>
          <w:sz w:val="32"/>
          <w:szCs w:val="32"/>
        </w:rPr>
        <w:t>亿元，地方政府专项债务还本支出5.02亿元，支出合计3</w:t>
      </w:r>
      <w:r>
        <w:rPr>
          <w:rFonts w:hint="eastAsia" w:eastAsia="仿宋_GB2312"/>
          <w:sz w:val="32"/>
          <w:szCs w:val="32"/>
        </w:rPr>
        <w:t>8</w:t>
      </w:r>
      <w:r>
        <w:rPr>
          <w:rFonts w:eastAsia="仿宋_GB2312"/>
          <w:sz w:val="32"/>
          <w:szCs w:val="32"/>
        </w:rPr>
        <w:t>亿元，收支平衡。</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（三）国有资本经营预算收支安排情况</w:t>
      </w:r>
    </w:p>
    <w:p>
      <w:pPr>
        <w:adjustRightInd w:val="0"/>
        <w:snapToGrid w:val="0"/>
        <w:spacing w:line="560" w:lineRule="exact"/>
        <w:ind w:firstLine="640" w:firstLineChars="200"/>
        <w:rPr>
          <w:rFonts w:eastAsia="仿宋_GB2312"/>
          <w:sz w:val="32"/>
          <w:szCs w:val="32"/>
        </w:rPr>
      </w:pPr>
      <w:r>
        <w:rPr>
          <w:rFonts w:eastAsia="仿宋_GB2312"/>
          <w:sz w:val="32"/>
          <w:szCs w:val="32"/>
        </w:rPr>
        <w:t>全县国有资本经营预算收入目标为5.35亿元，收入合计5.35亿元，全县国有资本经营预算</w:t>
      </w:r>
      <w:r>
        <w:rPr>
          <w:rFonts w:hint="eastAsia" w:eastAsia="仿宋_GB2312"/>
          <w:sz w:val="32"/>
          <w:szCs w:val="32"/>
        </w:rPr>
        <w:t>调出资金</w:t>
      </w:r>
      <w:r>
        <w:rPr>
          <w:rFonts w:eastAsia="仿宋_GB2312"/>
          <w:sz w:val="32"/>
          <w:szCs w:val="32"/>
        </w:rPr>
        <w:t>为5.35亿元，收支平衡。</w:t>
      </w:r>
    </w:p>
    <w:p>
      <w:pPr>
        <w:adjustRightInd w:val="0"/>
        <w:snapToGrid w:val="0"/>
        <w:spacing w:line="560" w:lineRule="exact"/>
        <w:ind w:firstLine="640" w:firstLineChars="200"/>
        <w:rPr>
          <w:rFonts w:eastAsia="楷体_GB2312"/>
          <w:snapToGrid w:val="0"/>
          <w:sz w:val="32"/>
          <w:szCs w:val="32"/>
        </w:rPr>
      </w:pPr>
      <w:r>
        <w:rPr>
          <w:rFonts w:eastAsia="楷体_GB2312"/>
          <w:snapToGrid w:val="0"/>
          <w:sz w:val="32"/>
          <w:szCs w:val="32"/>
        </w:rPr>
        <w:t>（四）社会保险基金预算收支安排情况</w:t>
      </w:r>
    </w:p>
    <w:p>
      <w:pPr>
        <w:adjustRightInd w:val="0"/>
        <w:snapToGrid w:val="0"/>
        <w:spacing w:line="560" w:lineRule="exact"/>
        <w:ind w:firstLine="640" w:firstLineChars="200"/>
        <w:rPr>
          <w:rFonts w:eastAsia="仿宋_GB2312"/>
          <w:sz w:val="32"/>
          <w:szCs w:val="32"/>
        </w:rPr>
      </w:pPr>
      <w:r>
        <w:rPr>
          <w:rFonts w:eastAsia="仿宋_GB2312"/>
          <w:sz w:val="32"/>
          <w:szCs w:val="32"/>
        </w:rPr>
        <w:t>全县社保基金预算收入目标为7.12亿元，其中：城乡居民基本养老保险基金2.65亿元，机关事业单位基本养老保险基金4.02亿元，工伤保险基金0.2亿元，失业保险基金0.25亿元。</w:t>
      </w:r>
    </w:p>
    <w:p>
      <w:pPr>
        <w:adjustRightInd w:val="0"/>
        <w:snapToGrid w:val="0"/>
        <w:spacing w:line="560" w:lineRule="exact"/>
        <w:ind w:firstLine="640" w:firstLineChars="200"/>
        <w:rPr>
          <w:rFonts w:eastAsia="仿宋_GB2312"/>
          <w:sz w:val="32"/>
          <w:szCs w:val="32"/>
        </w:rPr>
      </w:pPr>
      <w:r>
        <w:rPr>
          <w:rFonts w:eastAsia="仿宋_GB2312"/>
          <w:sz w:val="32"/>
          <w:szCs w:val="32"/>
        </w:rPr>
        <w:t>全县社保基金预算支出为6.45亿元，其中：城乡居民基本养老保险基金2亿元，机关事业单位基本养老保险基金3.95亿元，工伤保险基金0.19亿元，失业保险基金0.32亿元。</w:t>
      </w:r>
    </w:p>
    <w:p>
      <w:pPr>
        <w:adjustRightInd w:val="0"/>
        <w:snapToGrid w:val="0"/>
        <w:spacing w:line="560" w:lineRule="exact"/>
        <w:ind w:firstLine="640" w:firstLineChars="200"/>
        <w:rPr>
          <w:rFonts w:eastAsia="仿宋_GB2312"/>
          <w:sz w:val="32"/>
          <w:szCs w:val="32"/>
        </w:rPr>
      </w:pPr>
      <w:r>
        <w:rPr>
          <w:rFonts w:eastAsia="仿宋_GB2312"/>
          <w:sz w:val="32"/>
          <w:szCs w:val="32"/>
        </w:rPr>
        <w:t>县级社保基金预算收入总计为7.12亿元，县级社保基金预算支出总计为6.45亿元，当年收支</w:t>
      </w:r>
      <w:r>
        <w:rPr>
          <w:rFonts w:hint="eastAsia" w:eastAsia="仿宋_GB2312"/>
          <w:sz w:val="32"/>
          <w:szCs w:val="32"/>
        </w:rPr>
        <w:t>结余0</w:t>
      </w:r>
      <w:r>
        <w:rPr>
          <w:rFonts w:eastAsia="仿宋_GB2312"/>
          <w:sz w:val="32"/>
          <w:szCs w:val="32"/>
        </w:rPr>
        <w:t>.67亿元，年末滚存结余7.06亿元。</w:t>
      </w:r>
    </w:p>
    <w:p>
      <w:pPr>
        <w:adjustRightInd w:val="0"/>
        <w:snapToGrid w:val="0"/>
        <w:spacing w:line="560" w:lineRule="exact"/>
        <w:ind w:firstLine="640" w:firstLineChars="200"/>
        <w:rPr>
          <w:rFonts w:eastAsia="黑体"/>
          <w:snapToGrid w:val="0"/>
          <w:sz w:val="32"/>
          <w:szCs w:val="32"/>
        </w:rPr>
      </w:pPr>
      <w:r>
        <w:rPr>
          <w:rFonts w:eastAsia="黑体"/>
          <w:snapToGrid w:val="0"/>
          <w:sz w:val="32"/>
          <w:szCs w:val="32"/>
        </w:rPr>
        <w:t>四、2022年财政工作措施</w:t>
      </w:r>
    </w:p>
    <w:p>
      <w:pPr>
        <w:spacing w:line="560" w:lineRule="exact"/>
        <w:ind w:firstLine="640" w:firstLineChars="200"/>
        <w:rPr>
          <w:rFonts w:eastAsia="仿宋_GB2312"/>
          <w:sz w:val="32"/>
          <w:szCs w:val="32"/>
        </w:rPr>
      </w:pPr>
      <w:r>
        <w:rPr>
          <w:rFonts w:eastAsia="仿宋_GB2312"/>
          <w:sz w:val="32"/>
          <w:szCs w:val="32"/>
        </w:rPr>
        <w:t>2022年，全县财政工作的总体思路是高举习近平新时代中国特色社会主义思想伟大旗帜，深入贯彻落实党的十九大、十九届二中、三中、四中、五中、六中全会精神和市委、县委会议精神，坚持稳中求进工作总基调，围绕县委“对标找差、补短强特、创新实干”工作要求，坚持干在当头、狠抓落实，确保完成2022年全年目标任务。</w:t>
      </w:r>
    </w:p>
    <w:p>
      <w:pPr>
        <w:spacing w:line="560" w:lineRule="exact"/>
        <w:ind w:firstLine="640" w:firstLineChars="200"/>
        <w:rPr>
          <w:rFonts w:eastAsia="仿宋_GB2312"/>
          <w:sz w:val="32"/>
          <w:szCs w:val="32"/>
        </w:rPr>
      </w:pPr>
      <w:r>
        <w:rPr>
          <w:rFonts w:eastAsia="方正楷体_GBK"/>
          <w:sz w:val="32"/>
          <w:szCs w:val="32"/>
        </w:rPr>
        <w:t>（一）做大做强财政蛋糕。</w:t>
      </w:r>
      <w:r>
        <w:rPr>
          <w:rFonts w:eastAsia="仿宋_GB2312"/>
          <w:b/>
          <w:bCs/>
          <w:sz w:val="32"/>
          <w:szCs w:val="32"/>
        </w:rPr>
        <w:t>一是</w:t>
      </w:r>
      <w:r>
        <w:rPr>
          <w:rFonts w:hint="eastAsia" w:eastAsia="仿宋_GB2312"/>
          <w:sz w:val="32"/>
          <w:szCs w:val="32"/>
        </w:rPr>
        <w:t>不断深化财源建设</w:t>
      </w:r>
      <w:r>
        <w:rPr>
          <w:rFonts w:eastAsia="仿宋_GB2312"/>
          <w:sz w:val="32"/>
          <w:szCs w:val="32"/>
        </w:rPr>
        <w:t>。</w:t>
      </w:r>
      <w:r>
        <w:rPr>
          <w:rFonts w:hint="eastAsia" w:eastAsia="仿宋_GB2312"/>
          <w:bCs/>
          <w:sz w:val="32"/>
          <w:szCs w:val="32"/>
        </w:rPr>
        <w:t>积极贯彻落实减税降费、稳岗援企等企业扶持政策，全力支持实体经济发展，培大培强支柱财源。加强协同治税力度，健全部门协作和信息交换工作机制，强化税源排查合力，多措并举、合法合规增加财政收入，不断提高财政收入质量。</w:t>
      </w:r>
      <w:r>
        <w:rPr>
          <w:rFonts w:eastAsia="仿宋_GB2312"/>
          <w:b/>
          <w:bCs/>
          <w:sz w:val="32"/>
          <w:szCs w:val="32"/>
        </w:rPr>
        <w:t>二是</w:t>
      </w:r>
      <w:r>
        <w:rPr>
          <w:rFonts w:eastAsia="仿宋_GB2312"/>
          <w:sz w:val="32"/>
          <w:szCs w:val="32"/>
        </w:rPr>
        <w:t>积极争取上级支持。认真研究领会中央、省、市相关经济政策，积极配合有关部门向上争取资金。做好项目储备，争取地方政府债券资金支持，弥补我县基础设施和民生领域重点建设项目资金缺口。</w:t>
      </w:r>
      <w:r>
        <w:rPr>
          <w:rFonts w:eastAsia="仿宋_GB2312"/>
          <w:b/>
          <w:bCs/>
          <w:sz w:val="32"/>
          <w:szCs w:val="32"/>
        </w:rPr>
        <w:t>三是</w:t>
      </w:r>
      <w:r>
        <w:rPr>
          <w:rFonts w:eastAsia="仿宋_GB2312"/>
          <w:sz w:val="32"/>
          <w:szCs w:val="32"/>
        </w:rPr>
        <w:t>强化非税收入征管。加强项目库动态和非税电子化缴款业务管理，严格非税收入项目的增减、调整审批程序，确保源头控收，强</w:t>
      </w:r>
      <w:r>
        <w:rPr>
          <w:rFonts w:hint="eastAsia" w:eastAsia="仿宋_GB2312"/>
          <w:sz w:val="32"/>
          <w:szCs w:val="32"/>
        </w:rPr>
        <w:t>化非税</w:t>
      </w:r>
      <w:r>
        <w:rPr>
          <w:rFonts w:eastAsia="仿宋_GB2312"/>
          <w:sz w:val="32"/>
          <w:szCs w:val="32"/>
        </w:rPr>
        <w:t>收入</w:t>
      </w:r>
      <w:r>
        <w:rPr>
          <w:rFonts w:hint="eastAsia" w:eastAsia="仿宋_GB2312"/>
          <w:sz w:val="32"/>
          <w:szCs w:val="32"/>
        </w:rPr>
        <w:t>秩序</w:t>
      </w:r>
      <w:r>
        <w:rPr>
          <w:rFonts w:eastAsia="仿宋_GB2312"/>
          <w:sz w:val="32"/>
          <w:szCs w:val="32"/>
        </w:rPr>
        <w:t>。</w:t>
      </w:r>
    </w:p>
    <w:p>
      <w:pPr>
        <w:spacing w:line="560" w:lineRule="exact"/>
        <w:ind w:firstLine="640" w:firstLineChars="200"/>
        <w:rPr>
          <w:rFonts w:eastAsia="仿宋_GB2312"/>
          <w:sz w:val="32"/>
          <w:szCs w:val="32"/>
        </w:rPr>
      </w:pPr>
      <w:r>
        <w:rPr>
          <w:rFonts w:eastAsia="方正楷体_GBK"/>
          <w:sz w:val="32"/>
          <w:szCs w:val="32"/>
        </w:rPr>
        <w:t>（二）坚持财政有保有压。</w:t>
      </w:r>
      <w:r>
        <w:rPr>
          <w:rFonts w:eastAsia="仿宋_GB2312"/>
          <w:b/>
          <w:kern w:val="0"/>
          <w:sz w:val="32"/>
          <w:szCs w:val="32"/>
        </w:rPr>
        <w:t>一是</w:t>
      </w:r>
      <w:r>
        <w:rPr>
          <w:rFonts w:eastAsia="仿宋_GB2312"/>
          <w:kern w:val="0"/>
          <w:sz w:val="32"/>
          <w:szCs w:val="32"/>
        </w:rPr>
        <w:t>严格预算管理。</w:t>
      </w:r>
      <w:r>
        <w:rPr>
          <w:rFonts w:hint="eastAsia" w:ascii="仿宋_GB2312" w:hAnsi="Calibri" w:eastAsia="仿宋_GB2312"/>
          <w:snapToGrid w:val="0"/>
          <w:sz w:val="32"/>
          <w:szCs w:val="32"/>
        </w:rPr>
        <w:t>严格按照《预算法》及其实施条例等法律法规要求编制预算，硬化预算约束，体现厉行节约、勤俭办事的方针，不随意扩大财政支出范围、改变财政资金用途、提高支出标准等。</w:t>
      </w:r>
      <w:r>
        <w:rPr>
          <w:rFonts w:eastAsia="仿宋_GB2312"/>
          <w:sz w:val="32"/>
          <w:szCs w:val="32"/>
        </w:rPr>
        <w:t>坚持无预算不开支，有预算不超支，除突发应急事件外，新的增支项目当年不再追加预算安排。</w:t>
      </w:r>
      <w:r>
        <w:rPr>
          <w:rFonts w:hint="eastAsia" w:eastAsia="仿宋_GB2312"/>
          <w:sz w:val="32"/>
          <w:szCs w:val="32"/>
        </w:rPr>
        <w:t>对确需新增支出事项应及时向县政府提出申请，纳入下一年度预算安排支出。</w:t>
      </w:r>
      <w:r>
        <w:rPr>
          <w:rFonts w:hint="eastAsia" w:eastAsia="仿宋_GB2312"/>
          <w:b/>
          <w:sz w:val="32"/>
          <w:szCs w:val="32"/>
        </w:rPr>
        <w:t>二</w:t>
      </w:r>
      <w:r>
        <w:rPr>
          <w:rFonts w:eastAsia="仿宋_GB2312"/>
          <w:b/>
          <w:sz w:val="32"/>
          <w:szCs w:val="32"/>
        </w:rPr>
        <w:t>是</w:t>
      </w:r>
      <w:r>
        <w:rPr>
          <w:rFonts w:hint="eastAsia" w:eastAsia="仿宋_GB2312"/>
          <w:sz w:val="32"/>
          <w:szCs w:val="32"/>
        </w:rPr>
        <w:t>合理调度资金。加强资金统筹力度，</w:t>
      </w:r>
      <w:r>
        <w:rPr>
          <w:rFonts w:hint="eastAsia" w:ascii="仿宋_GB2312" w:hAnsi="黑体" w:eastAsia="仿宋_GB2312"/>
          <w:sz w:val="32"/>
          <w:szCs w:val="32"/>
        </w:rPr>
        <w:t>通过开源、节流多措并举积极应对，强化一般公共预算、政府性基金和国有资本经营三本预算资金统筹使用；</w:t>
      </w:r>
      <w:r>
        <w:rPr>
          <w:rFonts w:eastAsia="仿宋_GB2312"/>
          <w:sz w:val="32"/>
          <w:szCs w:val="32"/>
        </w:rPr>
        <w:t>坚持突出重点，</w:t>
      </w:r>
      <w:r>
        <w:rPr>
          <w:rFonts w:hint="eastAsia" w:ascii="仿宋_GB2312" w:hAnsi="黑体" w:eastAsia="仿宋_GB2312"/>
          <w:sz w:val="32"/>
          <w:szCs w:val="32"/>
        </w:rPr>
        <w:t>结合各民生项目的提标、扩面进行测算，落实托底救助政策，提高社会保障水平，推进教育优质均衡发展，突出重点，逐步提升基本公共服务均等化水平，</w:t>
      </w:r>
      <w:r>
        <w:rPr>
          <w:rFonts w:hint="eastAsia" w:eastAsia="仿宋_GB2312"/>
          <w:sz w:val="32"/>
          <w:szCs w:val="32"/>
        </w:rPr>
        <w:t>兜牢“三保”底线</w:t>
      </w:r>
      <w:r>
        <w:rPr>
          <w:rFonts w:eastAsia="仿宋_GB2312"/>
          <w:sz w:val="32"/>
          <w:szCs w:val="32"/>
        </w:rPr>
        <w:t>。</w:t>
      </w:r>
      <w:r>
        <w:rPr>
          <w:rFonts w:hint="eastAsia" w:ascii="仿宋_GB2312" w:hAnsi="黑体" w:eastAsia="仿宋_GB2312"/>
          <w:b/>
          <w:sz w:val="32"/>
          <w:szCs w:val="32"/>
        </w:rPr>
        <w:t>三是</w:t>
      </w:r>
      <w:r>
        <w:rPr>
          <w:rFonts w:eastAsia="仿宋_GB2312"/>
          <w:sz w:val="32"/>
          <w:szCs w:val="32"/>
        </w:rPr>
        <w:t>加大结余结转资金</w:t>
      </w:r>
      <w:r>
        <w:rPr>
          <w:rFonts w:hint="eastAsia" w:eastAsia="仿宋_GB2312"/>
          <w:sz w:val="32"/>
          <w:szCs w:val="32"/>
        </w:rPr>
        <w:t>管理</w:t>
      </w:r>
      <w:r>
        <w:rPr>
          <w:rFonts w:eastAsia="仿宋_GB2312"/>
          <w:sz w:val="32"/>
          <w:szCs w:val="32"/>
        </w:rPr>
        <w:t>，</w:t>
      </w:r>
      <w:r>
        <w:rPr>
          <w:rFonts w:hint="eastAsia" w:eastAsia="仿宋_GB2312"/>
          <w:color w:val="000000" w:themeColor="text1"/>
          <w:sz w:val="32"/>
          <w:szCs w:val="32"/>
          <w14:textFill>
            <w14:solidFill>
              <w14:schemeClr w14:val="tx1"/>
            </w14:solidFill>
          </w14:textFill>
        </w:rPr>
        <w:t>将盘活的存量资金优先用于化解政府隐性债务，统筹用于民生、公共服务基础设施建设、生态保护和环境治理等公益性社会事业建设重点领域。</w:t>
      </w:r>
    </w:p>
    <w:p>
      <w:pPr>
        <w:spacing w:line="560" w:lineRule="exact"/>
        <w:ind w:firstLine="640" w:firstLineChars="200"/>
        <w:rPr>
          <w:rFonts w:eastAsia="仿宋_GB2312"/>
          <w:bCs/>
          <w:sz w:val="32"/>
          <w:szCs w:val="32"/>
        </w:rPr>
      </w:pPr>
      <w:r>
        <w:rPr>
          <w:rFonts w:eastAsia="方正楷体_GBK"/>
          <w:sz w:val="32"/>
          <w:szCs w:val="32"/>
        </w:rPr>
        <w:t>（三）加强债务风险防范。</w:t>
      </w:r>
      <w:r>
        <w:rPr>
          <w:rFonts w:hint="eastAsia" w:eastAsia="仿宋_GB2312"/>
          <w:bCs/>
          <w:sz w:val="32"/>
          <w:szCs w:val="32"/>
        </w:rPr>
        <w:t>严格落实主体责任，</w:t>
      </w:r>
      <w:r>
        <w:rPr>
          <w:rFonts w:eastAsia="仿宋_GB2312"/>
          <w:bCs/>
          <w:sz w:val="32"/>
          <w:szCs w:val="32"/>
        </w:rPr>
        <w:t>严守不新增隐性债务和不发生区域性、系统性风险的底线。</w:t>
      </w:r>
      <w:r>
        <w:rPr>
          <w:rFonts w:hint="eastAsia" w:eastAsia="仿宋_GB2312"/>
          <w:bCs/>
          <w:sz w:val="32"/>
          <w:szCs w:val="32"/>
        </w:rPr>
        <w:t>强化债务资金保障，</w:t>
      </w:r>
      <w:r>
        <w:rPr>
          <w:rFonts w:eastAsia="仿宋_GB2312"/>
          <w:bCs/>
          <w:sz w:val="32"/>
          <w:szCs w:val="32"/>
        </w:rPr>
        <w:t>通过</w:t>
      </w:r>
      <w:r>
        <w:rPr>
          <w:rFonts w:eastAsia="仿宋_GB2312"/>
          <w:sz w:val="32"/>
          <w:szCs w:val="32"/>
        </w:rPr>
        <w:t>一般预算资金、基金预算资金、国有资本预算资金、资产处置变现等方式稳步化解隐性债务，力争完成全年目标任务</w:t>
      </w:r>
      <w:r>
        <w:rPr>
          <w:rFonts w:eastAsia="仿宋_GB2312"/>
          <w:bCs/>
          <w:sz w:val="32"/>
          <w:szCs w:val="32"/>
        </w:rPr>
        <w:t>；</w:t>
      </w:r>
      <w:r>
        <w:rPr>
          <w:rFonts w:hint="eastAsia" w:eastAsia="仿宋_GB2312"/>
          <w:bCs/>
          <w:sz w:val="32"/>
          <w:szCs w:val="32"/>
        </w:rPr>
        <w:t>加快债券资金使用进度，</w:t>
      </w:r>
      <w:r>
        <w:rPr>
          <w:rFonts w:eastAsia="仿宋_GB2312"/>
          <w:bCs/>
          <w:sz w:val="32"/>
          <w:szCs w:val="32"/>
        </w:rPr>
        <w:t>积极配合发改委做好2022年政府投资项目的编制入库工作，科学合理抓好债券资金申报，确保债券资金高效使用。</w:t>
      </w:r>
    </w:p>
    <w:p>
      <w:pPr>
        <w:spacing w:line="560" w:lineRule="exact"/>
        <w:ind w:firstLine="640" w:firstLineChars="200"/>
        <w:rPr>
          <w:rFonts w:eastAsia="仿宋_GB2312"/>
          <w:sz w:val="32"/>
          <w:szCs w:val="32"/>
        </w:rPr>
      </w:pPr>
      <w:r>
        <w:rPr>
          <w:rFonts w:eastAsia="方正楷体_GBK"/>
          <w:sz w:val="32"/>
          <w:szCs w:val="32"/>
        </w:rPr>
        <w:t>（四）推进县属国企深化改革。</w:t>
      </w:r>
      <w:r>
        <w:rPr>
          <w:rFonts w:eastAsia="仿宋_GB2312"/>
          <w:b/>
          <w:sz w:val="32"/>
          <w:szCs w:val="32"/>
        </w:rPr>
        <w:t>一是</w:t>
      </w:r>
      <w:r>
        <w:rPr>
          <w:rFonts w:eastAsia="仿宋_GB2312"/>
          <w:sz w:val="32"/>
          <w:szCs w:val="32"/>
        </w:rPr>
        <w:t>进一步开展国企改革三年行动。2022年是国企改革三年行动任务的收官之年，将研究出台《金湖县国有企业建立健全现代企业制度指导意见》等相关文件，进一步完善县属国有企业法人治理结构，规范县属国有企业监管。</w:t>
      </w:r>
      <w:r>
        <w:rPr>
          <w:rFonts w:eastAsia="仿宋_GB2312"/>
          <w:b/>
          <w:bCs/>
          <w:sz w:val="32"/>
          <w:szCs w:val="32"/>
        </w:rPr>
        <w:t>二是</w:t>
      </w:r>
      <w:r>
        <w:rPr>
          <w:rFonts w:eastAsia="仿宋_GB2312"/>
          <w:sz w:val="32"/>
          <w:szCs w:val="32"/>
        </w:rPr>
        <w:t>加快县属国有企业转型发展。“十四五”期间，计划实施宁淮高铁、金湖高铁商务区项目、高铁科技新城等多个高回报率的优质经营性项目，做大经营收入，加快实体化转型，摆脱政府投融资职能，切实做到政企分开、政资分开、政府社会公共管理职能与国有资产出资人职能分开。</w:t>
      </w:r>
      <w:r>
        <w:rPr>
          <w:rFonts w:eastAsia="仿宋_GB2312"/>
          <w:b/>
          <w:bCs/>
          <w:sz w:val="32"/>
          <w:szCs w:val="32"/>
        </w:rPr>
        <w:t>三是</w:t>
      </w:r>
      <w:r>
        <w:rPr>
          <w:rFonts w:eastAsia="仿宋_GB2312"/>
          <w:sz w:val="32"/>
          <w:szCs w:val="32"/>
        </w:rPr>
        <w:t>提高国有资本收益上缴公共财政比例。根据县管国有企业改革的进程和企业效益的状况，有计划、有步骤地逐步提高国有资本收益上缴公共财政的比例。</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各位代表，同舟共济扬帆起，乘风破浪万里航。2022年财政形势虽然严峻，但是我们有信心、有决心，在县委、县政府的坚强领导下，在县人大的监督指导下，提质增效，科学理财，完成全年各项目标任务，为我县经济社会健康持续发展作出新的更大的贡献！</w:t>
      </w:r>
    </w:p>
    <w:p>
      <w:pPr>
        <w:spacing w:line="560" w:lineRule="exact"/>
        <w:ind w:firstLine="640" w:firstLineChars="200"/>
        <w:rPr>
          <w:rFonts w:eastAsia="仿宋_GB2312"/>
          <w:sz w:val="32"/>
          <w:szCs w:val="32"/>
          <w:shd w:val="clear" w:color="auto" w:fill="FFFFFF"/>
        </w:rPr>
      </w:pPr>
    </w:p>
    <w:sectPr>
      <w:headerReference r:id="rId3" w:type="default"/>
      <w:footerReference r:id="rId4" w:type="default"/>
      <w:pgSz w:w="11906" w:h="16838"/>
      <w:pgMar w:top="1440" w:right="1800" w:bottom="1440" w:left="1800" w:header="1418" w:footer="1418"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18415" b="17145"/>
              <wp:wrapNone/>
              <wp:docPr id="1" name="文本框 1025"/>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5"/>
                            <w:jc w:val="center"/>
                            <w:rPr>
                              <w:rFonts w:cs="宋体"/>
                              <w:sz w:val="28"/>
                              <w:szCs w:val="28"/>
                            </w:rPr>
                          </w:pP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cs="宋体"/>
                              <w:sz w:val="28"/>
                              <w:szCs w:val="28"/>
                            </w:rPr>
                            <w:t>- 10 -</w:t>
                          </w:r>
                          <w:r>
                            <w:rPr>
                              <w:rFonts w:hint="eastAsia" w:cs="宋体"/>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7HUfwzgEAAJwDAAAOAAAAZHJzL2Uyb0RvYy54bWytU82O0zAQviPx&#10;DpbvNGlLEYqarkDVIiQESLs8gOtMGkv+k8dt0heAN+DEhTvP1edg7KRdWC574OKMZ8bfzPfNZH0z&#10;GM2OEFA5W/P5rOQMrHSNsvuaf7m/ffGaM4zCNkI7CzU/AfKbzfNn695XsHCd0w0ERiAWq97XvIvR&#10;V0WBsgMjcOY8WAq2LhgR6Rr2RRNET+hGF4uyfFX0LjQ+OAmI5N2OQT4hhqcAurZVErZOHgzYOKIG&#10;0CISJeyUR77J3bYtyPipbREi0zUnpjGfVITsXTqLzVpU+yB8p+TUgnhKC484GaEsFb1CbUUU7BDU&#10;P1BGyeDQtXEmnSlGIlkRYjEvH2lz1wkPmQtJjf4qOv4/WPnx+Dkw1dAmcGaFoYGfv387//h1/vmV&#10;zcvFKinUe6wo8c5TahzeuiFlT34kZyI+tMGkL1FiFCd9T1d9YYhMknO1fFkuV5xJCi2W5arM6MXD&#10;Yx8wvgNnWDJqHmh8WVVx/ICRClLqJSXVsu5WaZ1HqO1fDkocPZB3YHqdeIz9JisOu2EisXPNibj1&#10;tAc1t7T2nOn3lmROK3MxwsXYTUaqiP7NIVIbubuEOkJRq+lCQ8tNTwuWtuLPe856+Kk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9kx90QAAAAMBAAAPAAAAAAAAAAEAIAAAACIAAABkcnMvZG93&#10;bnJldi54bWxQSwECFAAUAAAACACHTuJAux1H8M4BAACcAwAADgAAAAAAAAABACAAAAAgAQAAZHJz&#10;L2Uyb0RvYy54bWxQSwUGAAAAAAYABgBZAQAAYAUAAAAA&#10;">
              <v:fill on="f" focussize="0,0"/>
              <v:stroke on="f"/>
              <v:imagedata o:title=""/>
              <o:lock v:ext="edit" aspectratio="f"/>
              <v:textbox inset="0mm,0mm,0mm,0mm" style="mso-fit-shape-to-text:t;">
                <w:txbxContent>
                  <w:p>
                    <w:pPr>
                      <w:pStyle w:val="5"/>
                      <w:jc w:val="center"/>
                      <w:rPr>
                        <w:rFonts w:cs="宋体"/>
                        <w:sz w:val="28"/>
                        <w:szCs w:val="28"/>
                      </w:rPr>
                    </w:pP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cs="宋体"/>
                        <w:sz w:val="28"/>
                        <w:szCs w:val="28"/>
                      </w:rPr>
                      <w:t>- 10 -</w:t>
                    </w:r>
                    <w:r>
                      <w:rPr>
                        <w:rFonts w:hint="eastAsia"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A43C3"/>
    <w:multiLevelType w:val="singleLevel"/>
    <w:tmpl w:val="5C8A43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Y2Y5YTAzYzdlZTI5YTM2YmZkYzFmZWM1ZDEyM2IifQ=="/>
  </w:docVars>
  <w:rsids>
    <w:rsidRoot w:val="00D044ED"/>
    <w:rsid w:val="0000367B"/>
    <w:rsid w:val="000045F3"/>
    <w:rsid w:val="0000462C"/>
    <w:rsid w:val="00004C3D"/>
    <w:rsid w:val="00005379"/>
    <w:rsid w:val="00005458"/>
    <w:rsid w:val="00007DA5"/>
    <w:rsid w:val="00011785"/>
    <w:rsid w:val="00011F37"/>
    <w:rsid w:val="00015921"/>
    <w:rsid w:val="0001635C"/>
    <w:rsid w:val="0001753C"/>
    <w:rsid w:val="00020946"/>
    <w:rsid w:val="000211DF"/>
    <w:rsid w:val="00022F36"/>
    <w:rsid w:val="00023029"/>
    <w:rsid w:val="00025FB9"/>
    <w:rsid w:val="00026D6E"/>
    <w:rsid w:val="00030586"/>
    <w:rsid w:val="0003086E"/>
    <w:rsid w:val="00031A79"/>
    <w:rsid w:val="00031C80"/>
    <w:rsid w:val="000329A4"/>
    <w:rsid w:val="00035025"/>
    <w:rsid w:val="00040CA0"/>
    <w:rsid w:val="000414E7"/>
    <w:rsid w:val="00044F64"/>
    <w:rsid w:val="00045181"/>
    <w:rsid w:val="00045249"/>
    <w:rsid w:val="00046D7D"/>
    <w:rsid w:val="000505B8"/>
    <w:rsid w:val="0005060D"/>
    <w:rsid w:val="00051544"/>
    <w:rsid w:val="00051D5E"/>
    <w:rsid w:val="00064241"/>
    <w:rsid w:val="00065075"/>
    <w:rsid w:val="00066A6D"/>
    <w:rsid w:val="00070A13"/>
    <w:rsid w:val="0007342D"/>
    <w:rsid w:val="00073760"/>
    <w:rsid w:val="00073BC8"/>
    <w:rsid w:val="00075B0C"/>
    <w:rsid w:val="00075F83"/>
    <w:rsid w:val="00080205"/>
    <w:rsid w:val="00081602"/>
    <w:rsid w:val="00081D9C"/>
    <w:rsid w:val="00082E49"/>
    <w:rsid w:val="00083A6C"/>
    <w:rsid w:val="0008488F"/>
    <w:rsid w:val="00084AD7"/>
    <w:rsid w:val="00087419"/>
    <w:rsid w:val="0009020E"/>
    <w:rsid w:val="0009043D"/>
    <w:rsid w:val="00094964"/>
    <w:rsid w:val="00095032"/>
    <w:rsid w:val="0009637C"/>
    <w:rsid w:val="000976F0"/>
    <w:rsid w:val="000A13DC"/>
    <w:rsid w:val="000A1596"/>
    <w:rsid w:val="000A4668"/>
    <w:rsid w:val="000A4CB4"/>
    <w:rsid w:val="000A4F66"/>
    <w:rsid w:val="000A7FE3"/>
    <w:rsid w:val="000B0D1A"/>
    <w:rsid w:val="000B18BA"/>
    <w:rsid w:val="000B222A"/>
    <w:rsid w:val="000B2A72"/>
    <w:rsid w:val="000B3D04"/>
    <w:rsid w:val="000B4A94"/>
    <w:rsid w:val="000B6F4B"/>
    <w:rsid w:val="000C15FA"/>
    <w:rsid w:val="000C1D28"/>
    <w:rsid w:val="000C1E50"/>
    <w:rsid w:val="000C3242"/>
    <w:rsid w:val="000C4D96"/>
    <w:rsid w:val="000C4D9A"/>
    <w:rsid w:val="000D0AA8"/>
    <w:rsid w:val="000D1E2F"/>
    <w:rsid w:val="000D2744"/>
    <w:rsid w:val="000E064D"/>
    <w:rsid w:val="000E44C1"/>
    <w:rsid w:val="000E45BF"/>
    <w:rsid w:val="000E7444"/>
    <w:rsid w:val="000F0B3F"/>
    <w:rsid w:val="000F0F9C"/>
    <w:rsid w:val="000F1378"/>
    <w:rsid w:val="000F1B93"/>
    <w:rsid w:val="000F20B5"/>
    <w:rsid w:val="000F2A8F"/>
    <w:rsid w:val="000F6DF1"/>
    <w:rsid w:val="00100ED0"/>
    <w:rsid w:val="0010270D"/>
    <w:rsid w:val="00102DB9"/>
    <w:rsid w:val="001033FC"/>
    <w:rsid w:val="001045A7"/>
    <w:rsid w:val="00105BC0"/>
    <w:rsid w:val="001067FE"/>
    <w:rsid w:val="0010684D"/>
    <w:rsid w:val="001079C5"/>
    <w:rsid w:val="00110FD3"/>
    <w:rsid w:val="00112D20"/>
    <w:rsid w:val="00114870"/>
    <w:rsid w:val="00115A57"/>
    <w:rsid w:val="0012005A"/>
    <w:rsid w:val="00120D94"/>
    <w:rsid w:val="001248F1"/>
    <w:rsid w:val="00125C0D"/>
    <w:rsid w:val="00126A8F"/>
    <w:rsid w:val="00126F50"/>
    <w:rsid w:val="001272CB"/>
    <w:rsid w:val="00133CD6"/>
    <w:rsid w:val="0013405C"/>
    <w:rsid w:val="0013499D"/>
    <w:rsid w:val="00135AAC"/>
    <w:rsid w:val="00140A7C"/>
    <w:rsid w:val="00141221"/>
    <w:rsid w:val="00141D24"/>
    <w:rsid w:val="00150013"/>
    <w:rsid w:val="0015309E"/>
    <w:rsid w:val="001536FC"/>
    <w:rsid w:val="00153C05"/>
    <w:rsid w:val="00153DF3"/>
    <w:rsid w:val="00154C50"/>
    <w:rsid w:val="00155492"/>
    <w:rsid w:val="00155CC0"/>
    <w:rsid w:val="00160F4C"/>
    <w:rsid w:val="001611C8"/>
    <w:rsid w:val="00161C9A"/>
    <w:rsid w:val="0016365E"/>
    <w:rsid w:val="00163E61"/>
    <w:rsid w:val="001643A7"/>
    <w:rsid w:val="00166D86"/>
    <w:rsid w:val="00175233"/>
    <w:rsid w:val="0017628F"/>
    <w:rsid w:val="00176676"/>
    <w:rsid w:val="00176A88"/>
    <w:rsid w:val="00176B23"/>
    <w:rsid w:val="0017765C"/>
    <w:rsid w:val="00183E12"/>
    <w:rsid w:val="001878B5"/>
    <w:rsid w:val="00190304"/>
    <w:rsid w:val="00194AE5"/>
    <w:rsid w:val="00194C68"/>
    <w:rsid w:val="00195625"/>
    <w:rsid w:val="00196177"/>
    <w:rsid w:val="00196A02"/>
    <w:rsid w:val="00196A03"/>
    <w:rsid w:val="001A1FC6"/>
    <w:rsid w:val="001A4603"/>
    <w:rsid w:val="001A6724"/>
    <w:rsid w:val="001A6EE2"/>
    <w:rsid w:val="001C0D17"/>
    <w:rsid w:val="001C1579"/>
    <w:rsid w:val="001C4037"/>
    <w:rsid w:val="001C4A42"/>
    <w:rsid w:val="001C5777"/>
    <w:rsid w:val="001C6B1F"/>
    <w:rsid w:val="001C72D4"/>
    <w:rsid w:val="001D1014"/>
    <w:rsid w:val="001D1556"/>
    <w:rsid w:val="001D2BAA"/>
    <w:rsid w:val="001D3E69"/>
    <w:rsid w:val="001D5877"/>
    <w:rsid w:val="001D5F13"/>
    <w:rsid w:val="001D61C9"/>
    <w:rsid w:val="001D6507"/>
    <w:rsid w:val="001D6F99"/>
    <w:rsid w:val="001E1490"/>
    <w:rsid w:val="001E1589"/>
    <w:rsid w:val="001E19FF"/>
    <w:rsid w:val="001E3398"/>
    <w:rsid w:val="001E6368"/>
    <w:rsid w:val="001E6D1D"/>
    <w:rsid w:val="001F028B"/>
    <w:rsid w:val="001F13C2"/>
    <w:rsid w:val="001F194F"/>
    <w:rsid w:val="001F221C"/>
    <w:rsid w:val="001F227A"/>
    <w:rsid w:val="001F29CC"/>
    <w:rsid w:val="001F2B89"/>
    <w:rsid w:val="001F33F7"/>
    <w:rsid w:val="001F5045"/>
    <w:rsid w:val="001F58D5"/>
    <w:rsid w:val="001F75E4"/>
    <w:rsid w:val="00200AFC"/>
    <w:rsid w:val="00200B6A"/>
    <w:rsid w:val="00203096"/>
    <w:rsid w:val="00203706"/>
    <w:rsid w:val="00203F49"/>
    <w:rsid w:val="00204B18"/>
    <w:rsid w:val="00206754"/>
    <w:rsid w:val="00206D97"/>
    <w:rsid w:val="00212F41"/>
    <w:rsid w:val="00214095"/>
    <w:rsid w:val="002144B6"/>
    <w:rsid w:val="0021730F"/>
    <w:rsid w:val="0021782F"/>
    <w:rsid w:val="002219AF"/>
    <w:rsid w:val="00222853"/>
    <w:rsid w:val="00222897"/>
    <w:rsid w:val="00224E53"/>
    <w:rsid w:val="0022509E"/>
    <w:rsid w:val="00226377"/>
    <w:rsid w:val="00226686"/>
    <w:rsid w:val="00233D08"/>
    <w:rsid w:val="00236B95"/>
    <w:rsid w:val="002442DC"/>
    <w:rsid w:val="00246E07"/>
    <w:rsid w:val="00247450"/>
    <w:rsid w:val="00247D3E"/>
    <w:rsid w:val="002501EC"/>
    <w:rsid w:val="00250BCA"/>
    <w:rsid w:val="002517F1"/>
    <w:rsid w:val="002517FD"/>
    <w:rsid w:val="002522F1"/>
    <w:rsid w:val="00253C36"/>
    <w:rsid w:val="00253E99"/>
    <w:rsid w:val="00255AE9"/>
    <w:rsid w:val="002563E5"/>
    <w:rsid w:val="00262A8F"/>
    <w:rsid w:val="002633B5"/>
    <w:rsid w:val="0026455D"/>
    <w:rsid w:val="002728A0"/>
    <w:rsid w:val="00273F93"/>
    <w:rsid w:val="002751BF"/>
    <w:rsid w:val="00275773"/>
    <w:rsid w:val="0027585B"/>
    <w:rsid w:val="002761E5"/>
    <w:rsid w:val="00277E62"/>
    <w:rsid w:val="002863A2"/>
    <w:rsid w:val="002909EE"/>
    <w:rsid w:val="00293D51"/>
    <w:rsid w:val="002A0B2B"/>
    <w:rsid w:val="002A0D3A"/>
    <w:rsid w:val="002A3D49"/>
    <w:rsid w:val="002A49C3"/>
    <w:rsid w:val="002A5E31"/>
    <w:rsid w:val="002A7929"/>
    <w:rsid w:val="002B2C37"/>
    <w:rsid w:val="002B413B"/>
    <w:rsid w:val="002B50E3"/>
    <w:rsid w:val="002C0890"/>
    <w:rsid w:val="002C33E3"/>
    <w:rsid w:val="002C4F84"/>
    <w:rsid w:val="002C57CC"/>
    <w:rsid w:val="002C640B"/>
    <w:rsid w:val="002C6745"/>
    <w:rsid w:val="002D081F"/>
    <w:rsid w:val="002D213B"/>
    <w:rsid w:val="002D241F"/>
    <w:rsid w:val="002D3723"/>
    <w:rsid w:val="002D5A36"/>
    <w:rsid w:val="002D7A71"/>
    <w:rsid w:val="002E37D4"/>
    <w:rsid w:val="002E3878"/>
    <w:rsid w:val="002E4DA1"/>
    <w:rsid w:val="002F1B76"/>
    <w:rsid w:val="002F42D7"/>
    <w:rsid w:val="002F5F7C"/>
    <w:rsid w:val="002F6A17"/>
    <w:rsid w:val="0030016F"/>
    <w:rsid w:val="00300271"/>
    <w:rsid w:val="0030253E"/>
    <w:rsid w:val="00306E1E"/>
    <w:rsid w:val="0030739B"/>
    <w:rsid w:val="003109A5"/>
    <w:rsid w:val="00311F06"/>
    <w:rsid w:val="0031350E"/>
    <w:rsid w:val="0031438B"/>
    <w:rsid w:val="00315558"/>
    <w:rsid w:val="0031708B"/>
    <w:rsid w:val="00321247"/>
    <w:rsid w:val="003234C5"/>
    <w:rsid w:val="003321EF"/>
    <w:rsid w:val="00334BB6"/>
    <w:rsid w:val="00334DAB"/>
    <w:rsid w:val="0033573A"/>
    <w:rsid w:val="00336BB6"/>
    <w:rsid w:val="00337B22"/>
    <w:rsid w:val="00341888"/>
    <w:rsid w:val="00342948"/>
    <w:rsid w:val="00345AF6"/>
    <w:rsid w:val="003512AE"/>
    <w:rsid w:val="003517FC"/>
    <w:rsid w:val="00351A61"/>
    <w:rsid w:val="00355C49"/>
    <w:rsid w:val="00363D50"/>
    <w:rsid w:val="00365EE9"/>
    <w:rsid w:val="00373A49"/>
    <w:rsid w:val="0037432B"/>
    <w:rsid w:val="00374812"/>
    <w:rsid w:val="00375C35"/>
    <w:rsid w:val="00375C60"/>
    <w:rsid w:val="00376C41"/>
    <w:rsid w:val="00380BBC"/>
    <w:rsid w:val="00383473"/>
    <w:rsid w:val="00384375"/>
    <w:rsid w:val="003844EF"/>
    <w:rsid w:val="003865BD"/>
    <w:rsid w:val="003874C1"/>
    <w:rsid w:val="0039046D"/>
    <w:rsid w:val="00391421"/>
    <w:rsid w:val="0039228A"/>
    <w:rsid w:val="00392C5E"/>
    <w:rsid w:val="003956A9"/>
    <w:rsid w:val="003A123D"/>
    <w:rsid w:val="003A4BA9"/>
    <w:rsid w:val="003A4EA4"/>
    <w:rsid w:val="003B09B9"/>
    <w:rsid w:val="003B2B50"/>
    <w:rsid w:val="003B414A"/>
    <w:rsid w:val="003B4439"/>
    <w:rsid w:val="003B4BDA"/>
    <w:rsid w:val="003B5903"/>
    <w:rsid w:val="003B6937"/>
    <w:rsid w:val="003C05DB"/>
    <w:rsid w:val="003C253A"/>
    <w:rsid w:val="003C4B83"/>
    <w:rsid w:val="003C7B51"/>
    <w:rsid w:val="003D23B8"/>
    <w:rsid w:val="003D2613"/>
    <w:rsid w:val="003D324D"/>
    <w:rsid w:val="003D4187"/>
    <w:rsid w:val="003D501D"/>
    <w:rsid w:val="003D5972"/>
    <w:rsid w:val="003D60A7"/>
    <w:rsid w:val="003D6572"/>
    <w:rsid w:val="003D787A"/>
    <w:rsid w:val="003E083F"/>
    <w:rsid w:val="003E090C"/>
    <w:rsid w:val="003E125F"/>
    <w:rsid w:val="003E200E"/>
    <w:rsid w:val="003E27A7"/>
    <w:rsid w:val="003E3A6A"/>
    <w:rsid w:val="003E53AB"/>
    <w:rsid w:val="003E7360"/>
    <w:rsid w:val="003F0001"/>
    <w:rsid w:val="003F02EA"/>
    <w:rsid w:val="003F2F25"/>
    <w:rsid w:val="003F4188"/>
    <w:rsid w:val="003F423D"/>
    <w:rsid w:val="003F4B29"/>
    <w:rsid w:val="003F5C73"/>
    <w:rsid w:val="003F7787"/>
    <w:rsid w:val="003F7B48"/>
    <w:rsid w:val="00401B70"/>
    <w:rsid w:val="00402E87"/>
    <w:rsid w:val="00410E9C"/>
    <w:rsid w:val="00410F03"/>
    <w:rsid w:val="00412AC8"/>
    <w:rsid w:val="00415470"/>
    <w:rsid w:val="004158C5"/>
    <w:rsid w:val="0042404D"/>
    <w:rsid w:val="00427BFB"/>
    <w:rsid w:val="00430735"/>
    <w:rsid w:val="004309FE"/>
    <w:rsid w:val="004346B4"/>
    <w:rsid w:val="00434B3A"/>
    <w:rsid w:val="00440319"/>
    <w:rsid w:val="00442A3D"/>
    <w:rsid w:val="00443702"/>
    <w:rsid w:val="004459EC"/>
    <w:rsid w:val="00447281"/>
    <w:rsid w:val="00450E49"/>
    <w:rsid w:val="00454C5D"/>
    <w:rsid w:val="004554C6"/>
    <w:rsid w:val="00455F7C"/>
    <w:rsid w:val="0046133C"/>
    <w:rsid w:val="00462BF7"/>
    <w:rsid w:val="00463FF1"/>
    <w:rsid w:val="0046591D"/>
    <w:rsid w:val="00466ED1"/>
    <w:rsid w:val="0047116A"/>
    <w:rsid w:val="0047125B"/>
    <w:rsid w:val="00471B0C"/>
    <w:rsid w:val="00471FE8"/>
    <w:rsid w:val="00482127"/>
    <w:rsid w:val="004825F8"/>
    <w:rsid w:val="00482EAB"/>
    <w:rsid w:val="0048328B"/>
    <w:rsid w:val="004876A8"/>
    <w:rsid w:val="0049127A"/>
    <w:rsid w:val="00491F51"/>
    <w:rsid w:val="00493114"/>
    <w:rsid w:val="004940FA"/>
    <w:rsid w:val="00494706"/>
    <w:rsid w:val="0049501D"/>
    <w:rsid w:val="004A05E2"/>
    <w:rsid w:val="004A1053"/>
    <w:rsid w:val="004A14BD"/>
    <w:rsid w:val="004A22B6"/>
    <w:rsid w:val="004A51E6"/>
    <w:rsid w:val="004A5967"/>
    <w:rsid w:val="004A5FC9"/>
    <w:rsid w:val="004B0CC5"/>
    <w:rsid w:val="004B2808"/>
    <w:rsid w:val="004B3304"/>
    <w:rsid w:val="004B397C"/>
    <w:rsid w:val="004B646C"/>
    <w:rsid w:val="004B7EDE"/>
    <w:rsid w:val="004C33C9"/>
    <w:rsid w:val="004C3D95"/>
    <w:rsid w:val="004C75D3"/>
    <w:rsid w:val="004C78A9"/>
    <w:rsid w:val="004D2C8E"/>
    <w:rsid w:val="004D2F14"/>
    <w:rsid w:val="004D55F3"/>
    <w:rsid w:val="004D57EE"/>
    <w:rsid w:val="004D5C1F"/>
    <w:rsid w:val="004D6DA6"/>
    <w:rsid w:val="004E03DC"/>
    <w:rsid w:val="004E04A9"/>
    <w:rsid w:val="004E350A"/>
    <w:rsid w:val="004E5AF6"/>
    <w:rsid w:val="004E5C39"/>
    <w:rsid w:val="004E6F76"/>
    <w:rsid w:val="004E70ED"/>
    <w:rsid w:val="004F2779"/>
    <w:rsid w:val="004F74A0"/>
    <w:rsid w:val="004F7E8E"/>
    <w:rsid w:val="00501D8A"/>
    <w:rsid w:val="00502962"/>
    <w:rsid w:val="00502C77"/>
    <w:rsid w:val="0050335F"/>
    <w:rsid w:val="00503719"/>
    <w:rsid w:val="00504265"/>
    <w:rsid w:val="00504E1B"/>
    <w:rsid w:val="00505D24"/>
    <w:rsid w:val="00510371"/>
    <w:rsid w:val="00513FD3"/>
    <w:rsid w:val="0051469B"/>
    <w:rsid w:val="005179E8"/>
    <w:rsid w:val="00520D35"/>
    <w:rsid w:val="00523923"/>
    <w:rsid w:val="00524FD8"/>
    <w:rsid w:val="005250FD"/>
    <w:rsid w:val="00525A9D"/>
    <w:rsid w:val="005260DC"/>
    <w:rsid w:val="00531851"/>
    <w:rsid w:val="00531B8C"/>
    <w:rsid w:val="00535F14"/>
    <w:rsid w:val="005373D0"/>
    <w:rsid w:val="005411A3"/>
    <w:rsid w:val="00543FAD"/>
    <w:rsid w:val="005447A7"/>
    <w:rsid w:val="00545E9F"/>
    <w:rsid w:val="005466E3"/>
    <w:rsid w:val="00546761"/>
    <w:rsid w:val="00546790"/>
    <w:rsid w:val="005472F8"/>
    <w:rsid w:val="0055058D"/>
    <w:rsid w:val="005513A1"/>
    <w:rsid w:val="00553661"/>
    <w:rsid w:val="005541C3"/>
    <w:rsid w:val="00554BF0"/>
    <w:rsid w:val="00555E6B"/>
    <w:rsid w:val="0056078C"/>
    <w:rsid w:val="005620C4"/>
    <w:rsid w:val="00562DDA"/>
    <w:rsid w:val="005630A9"/>
    <w:rsid w:val="00565455"/>
    <w:rsid w:val="005673B7"/>
    <w:rsid w:val="00567D43"/>
    <w:rsid w:val="00570705"/>
    <w:rsid w:val="00571926"/>
    <w:rsid w:val="005740BD"/>
    <w:rsid w:val="005744A8"/>
    <w:rsid w:val="0057697D"/>
    <w:rsid w:val="00576ABC"/>
    <w:rsid w:val="00580561"/>
    <w:rsid w:val="00582974"/>
    <w:rsid w:val="00582A7B"/>
    <w:rsid w:val="0058616E"/>
    <w:rsid w:val="0058673A"/>
    <w:rsid w:val="00587E99"/>
    <w:rsid w:val="005937BB"/>
    <w:rsid w:val="0059406A"/>
    <w:rsid w:val="00594A47"/>
    <w:rsid w:val="00595232"/>
    <w:rsid w:val="0059717A"/>
    <w:rsid w:val="00597CF6"/>
    <w:rsid w:val="005A0077"/>
    <w:rsid w:val="005A03D4"/>
    <w:rsid w:val="005A3590"/>
    <w:rsid w:val="005A3932"/>
    <w:rsid w:val="005A40C0"/>
    <w:rsid w:val="005A6188"/>
    <w:rsid w:val="005B1752"/>
    <w:rsid w:val="005C0F5F"/>
    <w:rsid w:val="005C2925"/>
    <w:rsid w:val="005C3118"/>
    <w:rsid w:val="005C313B"/>
    <w:rsid w:val="005C31FC"/>
    <w:rsid w:val="005C3CE9"/>
    <w:rsid w:val="005C4454"/>
    <w:rsid w:val="005C4CD4"/>
    <w:rsid w:val="005C5004"/>
    <w:rsid w:val="005C5196"/>
    <w:rsid w:val="005C6136"/>
    <w:rsid w:val="005D0BDB"/>
    <w:rsid w:val="005D19FA"/>
    <w:rsid w:val="005D3E42"/>
    <w:rsid w:val="005D4F48"/>
    <w:rsid w:val="005D55BA"/>
    <w:rsid w:val="005D5D81"/>
    <w:rsid w:val="005D5FDC"/>
    <w:rsid w:val="005D607C"/>
    <w:rsid w:val="005D623B"/>
    <w:rsid w:val="005D71B5"/>
    <w:rsid w:val="005D7B19"/>
    <w:rsid w:val="005E0064"/>
    <w:rsid w:val="005E0B26"/>
    <w:rsid w:val="005E0D87"/>
    <w:rsid w:val="005E2EFB"/>
    <w:rsid w:val="005E6DEC"/>
    <w:rsid w:val="005F01E3"/>
    <w:rsid w:val="005F1926"/>
    <w:rsid w:val="005F3FAC"/>
    <w:rsid w:val="005F425D"/>
    <w:rsid w:val="005F60CB"/>
    <w:rsid w:val="005F78D8"/>
    <w:rsid w:val="00602256"/>
    <w:rsid w:val="0060229F"/>
    <w:rsid w:val="006056AD"/>
    <w:rsid w:val="006058DF"/>
    <w:rsid w:val="00605970"/>
    <w:rsid w:val="006061ED"/>
    <w:rsid w:val="00606244"/>
    <w:rsid w:val="0060642E"/>
    <w:rsid w:val="0060744F"/>
    <w:rsid w:val="00615A05"/>
    <w:rsid w:val="00617D44"/>
    <w:rsid w:val="00620730"/>
    <w:rsid w:val="0062249F"/>
    <w:rsid w:val="00622766"/>
    <w:rsid w:val="0062291B"/>
    <w:rsid w:val="00622F88"/>
    <w:rsid w:val="006256A7"/>
    <w:rsid w:val="00627E88"/>
    <w:rsid w:val="00627F31"/>
    <w:rsid w:val="006315ED"/>
    <w:rsid w:val="00633C80"/>
    <w:rsid w:val="00633EC4"/>
    <w:rsid w:val="00634C4F"/>
    <w:rsid w:val="00636BDC"/>
    <w:rsid w:val="00636CAB"/>
    <w:rsid w:val="00636F4A"/>
    <w:rsid w:val="00637A9F"/>
    <w:rsid w:val="006428A0"/>
    <w:rsid w:val="006431F6"/>
    <w:rsid w:val="00644260"/>
    <w:rsid w:val="00645643"/>
    <w:rsid w:val="00646C09"/>
    <w:rsid w:val="00650BD3"/>
    <w:rsid w:val="00651EE3"/>
    <w:rsid w:val="00652194"/>
    <w:rsid w:val="006525C2"/>
    <w:rsid w:val="006529F5"/>
    <w:rsid w:val="00652C4C"/>
    <w:rsid w:val="00657531"/>
    <w:rsid w:val="006579AD"/>
    <w:rsid w:val="00660003"/>
    <w:rsid w:val="00661896"/>
    <w:rsid w:val="00667F6D"/>
    <w:rsid w:val="00671731"/>
    <w:rsid w:val="0067458A"/>
    <w:rsid w:val="006779AB"/>
    <w:rsid w:val="006804C2"/>
    <w:rsid w:val="00680AE3"/>
    <w:rsid w:val="00680EEA"/>
    <w:rsid w:val="0068118A"/>
    <w:rsid w:val="006813D9"/>
    <w:rsid w:val="00682D87"/>
    <w:rsid w:val="00685606"/>
    <w:rsid w:val="0068677A"/>
    <w:rsid w:val="006913E2"/>
    <w:rsid w:val="0069140D"/>
    <w:rsid w:val="00691F78"/>
    <w:rsid w:val="00694B02"/>
    <w:rsid w:val="00694CF9"/>
    <w:rsid w:val="0069601D"/>
    <w:rsid w:val="00697757"/>
    <w:rsid w:val="006A2E23"/>
    <w:rsid w:val="006A3D6C"/>
    <w:rsid w:val="006A4F86"/>
    <w:rsid w:val="006A50AC"/>
    <w:rsid w:val="006A6992"/>
    <w:rsid w:val="006A78F4"/>
    <w:rsid w:val="006B0E7D"/>
    <w:rsid w:val="006B25E9"/>
    <w:rsid w:val="006B385C"/>
    <w:rsid w:val="006B657F"/>
    <w:rsid w:val="006B77B9"/>
    <w:rsid w:val="006C0F3F"/>
    <w:rsid w:val="006C2B2A"/>
    <w:rsid w:val="006C44A7"/>
    <w:rsid w:val="006C7829"/>
    <w:rsid w:val="006D2DD9"/>
    <w:rsid w:val="006D6A05"/>
    <w:rsid w:val="006E02D9"/>
    <w:rsid w:val="006E08C0"/>
    <w:rsid w:val="006E08EB"/>
    <w:rsid w:val="006E100C"/>
    <w:rsid w:val="006E1598"/>
    <w:rsid w:val="006E1702"/>
    <w:rsid w:val="006E2EB6"/>
    <w:rsid w:val="006E31D9"/>
    <w:rsid w:val="006E67C4"/>
    <w:rsid w:val="006F0579"/>
    <w:rsid w:val="006F1BA2"/>
    <w:rsid w:val="006F32AE"/>
    <w:rsid w:val="006F5092"/>
    <w:rsid w:val="006F5BB1"/>
    <w:rsid w:val="006F5BCF"/>
    <w:rsid w:val="006F5DEB"/>
    <w:rsid w:val="006F702F"/>
    <w:rsid w:val="006F78C2"/>
    <w:rsid w:val="006F79B0"/>
    <w:rsid w:val="006F7D1D"/>
    <w:rsid w:val="007001EF"/>
    <w:rsid w:val="00701759"/>
    <w:rsid w:val="007027A5"/>
    <w:rsid w:val="00703EFC"/>
    <w:rsid w:val="00710A19"/>
    <w:rsid w:val="00711119"/>
    <w:rsid w:val="00711BB3"/>
    <w:rsid w:val="00712CF1"/>
    <w:rsid w:val="00715378"/>
    <w:rsid w:val="00715C66"/>
    <w:rsid w:val="00716FB9"/>
    <w:rsid w:val="00720296"/>
    <w:rsid w:val="007232C0"/>
    <w:rsid w:val="007253C4"/>
    <w:rsid w:val="007314DF"/>
    <w:rsid w:val="0073255A"/>
    <w:rsid w:val="00735E88"/>
    <w:rsid w:val="00737083"/>
    <w:rsid w:val="007373F2"/>
    <w:rsid w:val="00737676"/>
    <w:rsid w:val="00740976"/>
    <w:rsid w:val="00740BC6"/>
    <w:rsid w:val="00741FC9"/>
    <w:rsid w:val="007428C2"/>
    <w:rsid w:val="00743F67"/>
    <w:rsid w:val="007440C0"/>
    <w:rsid w:val="0074526D"/>
    <w:rsid w:val="00746C91"/>
    <w:rsid w:val="00751756"/>
    <w:rsid w:val="00751E38"/>
    <w:rsid w:val="007527FE"/>
    <w:rsid w:val="00756D40"/>
    <w:rsid w:val="0076163D"/>
    <w:rsid w:val="007618E0"/>
    <w:rsid w:val="007621C1"/>
    <w:rsid w:val="00762D18"/>
    <w:rsid w:val="007634D6"/>
    <w:rsid w:val="00763551"/>
    <w:rsid w:val="00763D8E"/>
    <w:rsid w:val="00764FEA"/>
    <w:rsid w:val="007657C8"/>
    <w:rsid w:val="007671AD"/>
    <w:rsid w:val="00770536"/>
    <w:rsid w:val="00770B2B"/>
    <w:rsid w:val="00771DFF"/>
    <w:rsid w:val="0077208D"/>
    <w:rsid w:val="0077241C"/>
    <w:rsid w:val="00774574"/>
    <w:rsid w:val="0077525B"/>
    <w:rsid w:val="007761A4"/>
    <w:rsid w:val="007806EB"/>
    <w:rsid w:val="00780FDA"/>
    <w:rsid w:val="0078273C"/>
    <w:rsid w:val="007836B6"/>
    <w:rsid w:val="00784434"/>
    <w:rsid w:val="007852E7"/>
    <w:rsid w:val="00786860"/>
    <w:rsid w:val="00787C9B"/>
    <w:rsid w:val="007903FD"/>
    <w:rsid w:val="007920C8"/>
    <w:rsid w:val="007921E8"/>
    <w:rsid w:val="007938AB"/>
    <w:rsid w:val="00793932"/>
    <w:rsid w:val="007944F0"/>
    <w:rsid w:val="007951E8"/>
    <w:rsid w:val="00796724"/>
    <w:rsid w:val="0079764B"/>
    <w:rsid w:val="007A14C9"/>
    <w:rsid w:val="007A1926"/>
    <w:rsid w:val="007A1F22"/>
    <w:rsid w:val="007A5C2C"/>
    <w:rsid w:val="007A5C78"/>
    <w:rsid w:val="007A778B"/>
    <w:rsid w:val="007B0638"/>
    <w:rsid w:val="007B101E"/>
    <w:rsid w:val="007B37BE"/>
    <w:rsid w:val="007C09C4"/>
    <w:rsid w:val="007C3D25"/>
    <w:rsid w:val="007C6B31"/>
    <w:rsid w:val="007D0DBE"/>
    <w:rsid w:val="007D1C9B"/>
    <w:rsid w:val="007D2B67"/>
    <w:rsid w:val="007D4758"/>
    <w:rsid w:val="007D66CB"/>
    <w:rsid w:val="007D79A5"/>
    <w:rsid w:val="007D7C7F"/>
    <w:rsid w:val="007E040B"/>
    <w:rsid w:val="007E0F11"/>
    <w:rsid w:val="007E2382"/>
    <w:rsid w:val="007E2C85"/>
    <w:rsid w:val="007E2DA6"/>
    <w:rsid w:val="007E5350"/>
    <w:rsid w:val="007E6C7E"/>
    <w:rsid w:val="007F2F2B"/>
    <w:rsid w:val="007F3FEF"/>
    <w:rsid w:val="007F40EE"/>
    <w:rsid w:val="007F6C84"/>
    <w:rsid w:val="00800B80"/>
    <w:rsid w:val="0080111C"/>
    <w:rsid w:val="00803492"/>
    <w:rsid w:val="00804D45"/>
    <w:rsid w:val="00804D54"/>
    <w:rsid w:val="00806FDE"/>
    <w:rsid w:val="00807687"/>
    <w:rsid w:val="008078E7"/>
    <w:rsid w:val="008104F6"/>
    <w:rsid w:val="00810D94"/>
    <w:rsid w:val="00814269"/>
    <w:rsid w:val="00820AB8"/>
    <w:rsid w:val="008227A3"/>
    <w:rsid w:val="00822B02"/>
    <w:rsid w:val="00822BAC"/>
    <w:rsid w:val="00822FD9"/>
    <w:rsid w:val="00825E0C"/>
    <w:rsid w:val="00827130"/>
    <w:rsid w:val="00831698"/>
    <w:rsid w:val="00831DFA"/>
    <w:rsid w:val="00833032"/>
    <w:rsid w:val="00833092"/>
    <w:rsid w:val="00837504"/>
    <w:rsid w:val="00840CDD"/>
    <w:rsid w:val="00842E64"/>
    <w:rsid w:val="00845220"/>
    <w:rsid w:val="0084731D"/>
    <w:rsid w:val="008505EB"/>
    <w:rsid w:val="00850A1B"/>
    <w:rsid w:val="00852083"/>
    <w:rsid w:val="00852E5F"/>
    <w:rsid w:val="0085564A"/>
    <w:rsid w:val="008562D5"/>
    <w:rsid w:val="008601F7"/>
    <w:rsid w:val="00860F10"/>
    <w:rsid w:val="00861440"/>
    <w:rsid w:val="008630BD"/>
    <w:rsid w:val="00864F35"/>
    <w:rsid w:val="008660A3"/>
    <w:rsid w:val="0086657C"/>
    <w:rsid w:val="00867123"/>
    <w:rsid w:val="00867748"/>
    <w:rsid w:val="0087000E"/>
    <w:rsid w:val="008712E9"/>
    <w:rsid w:val="008718AE"/>
    <w:rsid w:val="00871CD1"/>
    <w:rsid w:val="008724D3"/>
    <w:rsid w:val="00872A09"/>
    <w:rsid w:val="00872E69"/>
    <w:rsid w:val="008733B6"/>
    <w:rsid w:val="00873CDB"/>
    <w:rsid w:val="008753BB"/>
    <w:rsid w:val="008764B2"/>
    <w:rsid w:val="00876D89"/>
    <w:rsid w:val="008770C8"/>
    <w:rsid w:val="00877CD3"/>
    <w:rsid w:val="008800AE"/>
    <w:rsid w:val="00880658"/>
    <w:rsid w:val="00881CA2"/>
    <w:rsid w:val="00882E5B"/>
    <w:rsid w:val="00882FEA"/>
    <w:rsid w:val="00883715"/>
    <w:rsid w:val="00883B33"/>
    <w:rsid w:val="00890F69"/>
    <w:rsid w:val="00891FAB"/>
    <w:rsid w:val="00892EC9"/>
    <w:rsid w:val="0089559A"/>
    <w:rsid w:val="00897728"/>
    <w:rsid w:val="008A0839"/>
    <w:rsid w:val="008A0972"/>
    <w:rsid w:val="008A2F04"/>
    <w:rsid w:val="008A2F3F"/>
    <w:rsid w:val="008A5684"/>
    <w:rsid w:val="008A6829"/>
    <w:rsid w:val="008B1946"/>
    <w:rsid w:val="008B4F6E"/>
    <w:rsid w:val="008B70B4"/>
    <w:rsid w:val="008C0289"/>
    <w:rsid w:val="008C12B3"/>
    <w:rsid w:val="008C1CA2"/>
    <w:rsid w:val="008C237B"/>
    <w:rsid w:val="008D0347"/>
    <w:rsid w:val="008D2BEA"/>
    <w:rsid w:val="008D50EC"/>
    <w:rsid w:val="008E1229"/>
    <w:rsid w:val="008E26EB"/>
    <w:rsid w:val="008E425A"/>
    <w:rsid w:val="008E5B59"/>
    <w:rsid w:val="008E667E"/>
    <w:rsid w:val="008E72EA"/>
    <w:rsid w:val="008F1772"/>
    <w:rsid w:val="008F1CB0"/>
    <w:rsid w:val="008F47AC"/>
    <w:rsid w:val="008F4A55"/>
    <w:rsid w:val="008F5CA8"/>
    <w:rsid w:val="008F7A86"/>
    <w:rsid w:val="00900BDC"/>
    <w:rsid w:val="00900FD0"/>
    <w:rsid w:val="00903301"/>
    <w:rsid w:val="00904DE4"/>
    <w:rsid w:val="009101EE"/>
    <w:rsid w:val="00910B50"/>
    <w:rsid w:val="009113B6"/>
    <w:rsid w:val="00912092"/>
    <w:rsid w:val="009125C3"/>
    <w:rsid w:val="009129CC"/>
    <w:rsid w:val="009154FA"/>
    <w:rsid w:val="009176ED"/>
    <w:rsid w:val="0092219F"/>
    <w:rsid w:val="0092524F"/>
    <w:rsid w:val="00926550"/>
    <w:rsid w:val="00926595"/>
    <w:rsid w:val="00927503"/>
    <w:rsid w:val="009303F1"/>
    <w:rsid w:val="00931DFA"/>
    <w:rsid w:val="00933E02"/>
    <w:rsid w:val="00937413"/>
    <w:rsid w:val="00937805"/>
    <w:rsid w:val="00940899"/>
    <w:rsid w:val="00943125"/>
    <w:rsid w:val="00943DE2"/>
    <w:rsid w:val="00945434"/>
    <w:rsid w:val="00945795"/>
    <w:rsid w:val="00945E8D"/>
    <w:rsid w:val="009477AE"/>
    <w:rsid w:val="009478FA"/>
    <w:rsid w:val="00950B39"/>
    <w:rsid w:val="00950FA4"/>
    <w:rsid w:val="009548D4"/>
    <w:rsid w:val="00960192"/>
    <w:rsid w:val="00960AC8"/>
    <w:rsid w:val="009620EF"/>
    <w:rsid w:val="00962FE5"/>
    <w:rsid w:val="00966929"/>
    <w:rsid w:val="009713E4"/>
    <w:rsid w:val="00971B86"/>
    <w:rsid w:val="009720A8"/>
    <w:rsid w:val="0097237A"/>
    <w:rsid w:val="00972D66"/>
    <w:rsid w:val="0097423B"/>
    <w:rsid w:val="0097539C"/>
    <w:rsid w:val="00976CF0"/>
    <w:rsid w:val="00983752"/>
    <w:rsid w:val="00983A58"/>
    <w:rsid w:val="00983AE6"/>
    <w:rsid w:val="009852A7"/>
    <w:rsid w:val="009855F3"/>
    <w:rsid w:val="009910B6"/>
    <w:rsid w:val="009937C8"/>
    <w:rsid w:val="0099647F"/>
    <w:rsid w:val="00996DC5"/>
    <w:rsid w:val="009972EC"/>
    <w:rsid w:val="00997F88"/>
    <w:rsid w:val="009A0111"/>
    <w:rsid w:val="009A13E0"/>
    <w:rsid w:val="009A33AC"/>
    <w:rsid w:val="009A5369"/>
    <w:rsid w:val="009A5B2C"/>
    <w:rsid w:val="009A67F9"/>
    <w:rsid w:val="009A691E"/>
    <w:rsid w:val="009B1236"/>
    <w:rsid w:val="009B20DE"/>
    <w:rsid w:val="009B4A03"/>
    <w:rsid w:val="009B4DF6"/>
    <w:rsid w:val="009B55E0"/>
    <w:rsid w:val="009B5B1A"/>
    <w:rsid w:val="009B5F44"/>
    <w:rsid w:val="009B6FB4"/>
    <w:rsid w:val="009B7BD9"/>
    <w:rsid w:val="009C2AA9"/>
    <w:rsid w:val="009C37F1"/>
    <w:rsid w:val="009C3B6F"/>
    <w:rsid w:val="009C4E45"/>
    <w:rsid w:val="009C68F9"/>
    <w:rsid w:val="009C75C3"/>
    <w:rsid w:val="009D1AFC"/>
    <w:rsid w:val="009D286B"/>
    <w:rsid w:val="009D2A4F"/>
    <w:rsid w:val="009D5A8E"/>
    <w:rsid w:val="009E3302"/>
    <w:rsid w:val="009E52B3"/>
    <w:rsid w:val="009E6AE2"/>
    <w:rsid w:val="009F06AC"/>
    <w:rsid w:val="009F094D"/>
    <w:rsid w:val="009F2335"/>
    <w:rsid w:val="009F2533"/>
    <w:rsid w:val="009F39F6"/>
    <w:rsid w:val="009F4980"/>
    <w:rsid w:val="009F6020"/>
    <w:rsid w:val="00A01253"/>
    <w:rsid w:val="00A03CF5"/>
    <w:rsid w:val="00A03DB3"/>
    <w:rsid w:val="00A05AC3"/>
    <w:rsid w:val="00A12583"/>
    <w:rsid w:val="00A12FF1"/>
    <w:rsid w:val="00A13DD9"/>
    <w:rsid w:val="00A216CB"/>
    <w:rsid w:val="00A21EC4"/>
    <w:rsid w:val="00A23355"/>
    <w:rsid w:val="00A26A93"/>
    <w:rsid w:val="00A312D6"/>
    <w:rsid w:val="00A33F59"/>
    <w:rsid w:val="00A3449B"/>
    <w:rsid w:val="00A34EBC"/>
    <w:rsid w:val="00A35470"/>
    <w:rsid w:val="00A371E5"/>
    <w:rsid w:val="00A41099"/>
    <w:rsid w:val="00A41211"/>
    <w:rsid w:val="00A41295"/>
    <w:rsid w:val="00A43904"/>
    <w:rsid w:val="00A4669F"/>
    <w:rsid w:val="00A47109"/>
    <w:rsid w:val="00A47D7C"/>
    <w:rsid w:val="00A5146E"/>
    <w:rsid w:val="00A51CE6"/>
    <w:rsid w:val="00A528BF"/>
    <w:rsid w:val="00A52D6D"/>
    <w:rsid w:val="00A53670"/>
    <w:rsid w:val="00A56618"/>
    <w:rsid w:val="00A60E4E"/>
    <w:rsid w:val="00A61F65"/>
    <w:rsid w:val="00A62B77"/>
    <w:rsid w:val="00A64FC8"/>
    <w:rsid w:val="00A65FCF"/>
    <w:rsid w:val="00A661A9"/>
    <w:rsid w:val="00A6641F"/>
    <w:rsid w:val="00A66B11"/>
    <w:rsid w:val="00A67C2F"/>
    <w:rsid w:val="00A67CFF"/>
    <w:rsid w:val="00A73E4A"/>
    <w:rsid w:val="00A75571"/>
    <w:rsid w:val="00A81324"/>
    <w:rsid w:val="00A82189"/>
    <w:rsid w:val="00A90FB9"/>
    <w:rsid w:val="00A90FE7"/>
    <w:rsid w:val="00A9145D"/>
    <w:rsid w:val="00A919C3"/>
    <w:rsid w:val="00A922A9"/>
    <w:rsid w:val="00A971CB"/>
    <w:rsid w:val="00A9735C"/>
    <w:rsid w:val="00A975B1"/>
    <w:rsid w:val="00AA0498"/>
    <w:rsid w:val="00AA05EE"/>
    <w:rsid w:val="00AA12A8"/>
    <w:rsid w:val="00AA19F7"/>
    <w:rsid w:val="00AA2615"/>
    <w:rsid w:val="00AA35A1"/>
    <w:rsid w:val="00AA4C8A"/>
    <w:rsid w:val="00AA5569"/>
    <w:rsid w:val="00AA6993"/>
    <w:rsid w:val="00AA76B0"/>
    <w:rsid w:val="00AB1400"/>
    <w:rsid w:val="00AB40A8"/>
    <w:rsid w:val="00AB416D"/>
    <w:rsid w:val="00AB448C"/>
    <w:rsid w:val="00AB5740"/>
    <w:rsid w:val="00AC0076"/>
    <w:rsid w:val="00AC1432"/>
    <w:rsid w:val="00AC350E"/>
    <w:rsid w:val="00AC3F0D"/>
    <w:rsid w:val="00AC48FC"/>
    <w:rsid w:val="00AC4D64"/>
    <w:rsid w:val="00AC5407"/>
    <w:rsid w:val="00AC7787"/>
    <w:rsid w:val="00AD08A5"/>
    <w:rsid w:val="00AD17F5"/>
    <w:rsid w:val="00AD299F"/>
    <w:rsid w:val="00AD40EB"/>
    <w:rsid w:val="00AD422A"/>
    <w:rsid w:val="00AD4B2F"/>
    <w:rsid w:val="00AD72DA"/>
    <w:rsid w:val="00AD7F43"/>
    <w:rsid w:val="00AD7FBE"/>
    <w:rsid w:val="00AE0A5D"/>
    <w:rsid w:val="00AE1E84"/>
    <w:rsid w:val="00AE28ED"/>
    <w:rsid w:val="00AE2A64"/>
    <w:rsid w:val="00AE3839"/>
    <w:rsid w:val="00AE4F86"/>
    <w:rsid w:val="00AE612C"/>
    <w:rsid w:val="00AE6526"/>
    <w:rsid w:val="00AF0DA7"/>
    <w:rsid w:val="00AF1DA5"/>
    <w:rsid w:val="00AF20E0"/>
    <w:rsid w:val="00AF4236"/>
    <w:rsid w:val="00AF44D1"/>
    <w:rsid w:val="00AF4642"/>
    <w:rsid w:val="00AF4AE0"/>
    <w:rsid w:val="00AF5DB2"/>
    <w:rsid w:val="00AF6D2E"/>
    <w:rsid w:val="00B04139"/>
    <w:rsid w:val="00B05E2B"/>
    <w:rsid w:val="00B1118F"/>
    <w:rsid w:val="00B1256C"/>
    <w:rsid w:val="00B13232"/>
    <w:rsid w:val="00B13932"/>
    <w:rsid w:val="00B15C17"/>
    <w:rsid w:val="00B23AF0"/>
    <w:rsid w:val="00B26A2F"/>
    <w:rsid w:val="00B3004F"/>
    <w:rsid w:val="00B30B7C"/>
    <w:rsid w:val="00B3164C"/>
    <w:rsid w:val="00B31883"/>
    <w:rsid w:val="00B3230F"/>
    <w:rsid w:val="00B3316E"/>
    <w:rsid w:val="00B334EE"/>
    <w:rsid w:val="00B33B9D"/>
    <w:rsid w:val="00B33FC0"/>
    <w:rsid w:val="00B35467"/>
    <w:rsid w:val="00B35ABB"/>
    <w:rsid w:val="00B41EA3"/>
    <w:rsid w:val="00B41EF1"/>
    <w:rsid w:val="00B43F9A"/>
    <w:rsid w:val="00B45FD1"/>
    <w:rsid w:val="00B46F2B"/>
    <w:rsid w:val="00B47F5A"/>
    <w:rsid w:val="00B52B5B"/>
    <w:rsid w:val="00B56135"/>
    <w:rsid w:val="00B56471"/>
    <w:rsid w:val="00B5662D"/>
    <w:rsid w:val="00B57103"/>
    <w:rsid w:val="00B578ED"/>
    <w:rsid w:val="00B57FF6"/>
    <w:rsid w:val="00B601B4"/>
    <w:rsid w:val="00B6109B"/>
    <w:rsid w:val="00B6189E"/>
    <w:rsid w:val="00B61C55"/>
    <w:rsid w:val="00B62AF0"/>
    <w:rsid w:val="00B64A4C"/>
    <w:rsid w:val="00B67367"/>
    <w:rsid w:val="00B70573"/>
    <w:rsid w:val="00B70A71"/>
    <w:rsid w:val="00B7506B"/>
    <w:rsid w:val="00B76357"/>
    <w:rsid w:val="00B77F60"/>
    <w:rsid w:val="00B82377"/>
    <w:rsid w:val="00B8237A"/>
    <w:rsid w:val="00B837A4"/>
    <w:rsid w:val="00B8434B"/>
    <w:rsid w:val="00B85341"/>
    <w:rsid w:val="00B86D25"/>
    <w:rsid w:val="00B8793D"/>
    <w:rsid w:val="00B904A6"/>
    <w:rsid w:val="00B90A77"/>
    <w:rsid w:val="00B9172C"/>
    <w:rsid w:val="00B936DA"/>
    <w:rsid w:val="00B94BF8"/>
    <w:rsid w:val="00BA07D1"/>
    <w:rsid w:val="00BA0806"/>
    <w:rsid w:val="00BA18A9"/>
    <w:rsid w:val="00BA442D"/>
    <w:rsid w:val="00BA508E"/>
    <w:rsid w:val="00BA5714"/>
    <w:rsid w:val="00BA628A"/>
    <w:rsid w:val="00BA631D"/>
    <w:rsid w:val="00BA7101"/>
    <w:rsid w:val="00BB0F3E"/>
    <w:rsid w:val="00BB1F7C"/>
    <w:rsid w:val="00BB4B9C"/>
    <w:rsid w:val="00BC1257"/>
    <w:rsid w:val="00BC33BA"/>
    <w:rsid w:val="00BC34AE"/>
    <w:rsid w:val="00BC356C"/>
    <w:rsid w:val="00BC43A3"/>
    <w:rsid w:val="00BC56C0"/>
    <w:rsid w:val="00BC6CB9"/>
    <w:rsid w:val="00BC7659"/>
    <w:rsid w:val="00BD0698"/>
    <w:rsid w:val="00BD1340"/>
    <w:rsid w:val="00BD3F66"/>
    <w:rsid w:val="00BD44E6"/>
    <w:rsid w:val="00BD4730"/>
    <w:rsid w:val="00BD65A3"/>
    <w:rsid w:val="00BD6637"/>
    <w:rsid w:val="00BD6FC7"/>
    <w:rsid w:val="00BD7D4D"/>
    <w:rsid w:val="00BE2969"/>
    <w:rsid w:val="00BE2FE5"/>
    <w:rsid w:val="00BE31FD"/>
    <w:rsid w:val="00BE37EB"/>
    <w:rsid w:val="00BF0046"/>
    <w:rsid w:val="00BF07C3"/>
    <w:rsid w:val="00BF22ED"/>
    <w:rsid w:val="00BF4D46"/>
    <w:rsid w:val="00BF70F5"/>
    <w:rsid w:val="00BF77B8"/>
    <w:rsid w:val="00C02706"/>
    <w:rsid w:val="00C049C3"/>
    <w:rsid w:val="00C058DB"/>
    <w:rsid w:val="00C059C6"/>
    <w:rsid w:val="00C111F2"/>
    <w:rsid w:val="00C11E85"/>
    <w:rsid w:val="00C12D9F"/>
    <w:rsid w:val="00C140D8"/>
    <w:rsid w:val="00C1710F"/>
    <w:rsid w:val="00C172B8"/>
    <w:rsid w:val="00C17661"/>
    <w:rsid w:val="00C178CA"/>
    <w:rsid w:val="00C21CAE"/>
    <w:rsid w:val="00C22BEA"/>
    <w:rsid w:val="00C22D2A"/>
    <w:rsid w:val="00C241A4"/>
    <w:rsid w:val="00C24FCB"/>
    <w:rsid w:val="00C27705"/>
    <w:rsid w:val="00C31E3A"/>
    <w:rsid w:val="00C341A0"/>
    <w:rsid w:val="00C3699B"/>
    <w:rsid w:val="00C36A99"/>
    <w:rsid w:val="00C41167"/>
    <w:rsid w:val="00C46AF4"/>
    <w:rsid w:val="00C46E4D"/>
    <w:rsid w:val="00C51CFE"/>
    <w:rsid w:val="00C520AE"/>
    <w:rsid w:val="00C52DAB"/>
    <w:rsid w:val="00C5648F"/>
    <w:rsid w:val="00C56CAD"/>
    <w:rsid w:val="00C574DE"/>
    <w:rsid w:val="00C6209A"/>
    <w:rsid w:val="00C6225E"/>
    <w:rsid w:val="00C62281"/>
    <w:rsid w:val="00C63793"/>
    <w:rsid w:val="00C63FE4"/>
    <w:rsid w:val="00C6489D"/>
    <w:rsid w:val="00C651C1"/>
    <w:rsid w:val="00C65708"/>
    <w:rsid w:val="00C67F58"/>
    <w:rsid w:val="00C703C2"/>
    <w:rsid w:val="00C7144F"/>
    <w:rsid w:val="00C72923"/>
    <w:rsid w:val="00C739D8"/>
    <w:rsid w:val="00C746E5"/>
    <w:rsid w:val="00C76CFC"/>
    <w:rsid w:val="00C8072E"/>
    <w:rsid w:val="00C81B74"/>
    <w:rsid w:val="00C83DFA"/>
    <w:rsid w:val="00C87CDA"/>
    <w:rsid w:val="00C942F8"/>
    <w:rsid w:val="00C95FDE"/>
    <w:rsid w:val="00C96BAF"/>
    <w:rsid w:val="00CA17A2"/>
    <w:rsid w:val="00CA2BAF"/>
    <w:rsid w:val="00CA2E62"/>
    <w:rsid w:val="00CA4645"/>
    <w:rsid w:val="00CA6718"/>
    <w:rsid w:val="00CB0020"/>
    <w:rsid w:val="00CB0455"/>
    <w:rsid w:val="00CB13AB"/>
    <w:rsid w:val="00CB256B"/>
    <w:rsid w:val="00CB4614"/>
    <w:rsid w:val="00CB658A"/>
    <w:rsid w:val="00CC2B00"/>
    <w:rsid w:val="00CC493B"/>
    <w:rsid w:val="00CD172D"/>
    <w:rsid w:val="00CD2725"/>
    <w:rsid w:val="00CD2968"/>
    <w:rsid w:val="00CD2FAA"/>
    <w:rsid w:val="00CD36AA"/>
    <w:rsid w:val="00CD6659"/>
    <w:rsid w:val="00CD6F5A"/>
    <w:rsid w:val="00CD72DB"/>
    <w:rsid w:val="00CE1B3C"/>
    <w:rsid w:val="00CE1CC3"/>
    <w:rsid w:val="00CE20A8"/>
    <w:rsid w:val="00CE2272"/>
    <w:rsid w:val="00CE35B1"/>
    <w:rsid w:val="00CE4939"/>
    <w:rsid w:val="00CE58E8"/>
    <w:rsid w:val="00CE7DE0"/>
    <w:rsid w:val="00CF111F"/>
    <w:rsid w:val="00CF4E8E"/>
    <w:rsid w:val="00CF6D25"/>
    <w:rsid w:val="00D03AC9"/>
    <w:rsid w:val="00D044ED"/>
    <w:rsid w:val="00D05DE4"/>
    <w:rsid w:val="00D107E7"/>
    <w:rsid w:val="00D10EA7"/>
    <w:rsid w:val="00D10F7E"/>
    <w:rsid w:val="00D11DB3"/>
    <w:rsid w:val="00D12918"/>
    <w:rsid w:val="00D1737B"/>
    <w:rsid w:val="00D1777E"/>
    <w:rsid w:val="00D1789F"/>
    <w:rsid w:val="00D17C1C"/>
    <w:rsid w:val="00D21BCE"/>
    <w:rsid w:val="00D23B0B"/>
    <w:rsid w:val="00D23C24"/>
    <w:rsid w:val="00D25F6D"/>
    <w:rsid w:val="00D275DD"/>
    <w:rsid w:val="00D30168"/>
    <w:rsid w:val="00D31AEA"/>
    <w:rsid w:val="00D36CB4"/>
    <w:rsid w:val="00D41FCD"/>
    <w:rsid w:val="00D4492E"/>
    <w:rsid w:val="00D457CE"/>
    <w:rsid w:val="00D46DEB"/>
    <w:rsid w:val="00D518EA"/>
    <w:rsid w:val="00D544AD"/>
    <w:rsid w:val="00D567B2"/>
    <w:rsid w:val="00D57154"/>
    <w:rsid w:val="00D61342"/>
    <w:rsid w:val="00D61EA2"/>
    <w:rsid w:val="00D64AB1"/>
    <w:rsid w:val="00D6533F"/>
    <w:rsid w:val="00D670CB"/>
    <w:rsid w:val="00D67902"/>
    <w:rsid w:val="00D745F5"/>
    <w:rsid w:val="00D75BA6"/>
    <w:rsid w:val="00D81885"/>
    <w:rsid w:val="00D84C90"/>
    <w:rsid w:val="00D85469"/>
    <w:rsid w:val="00D854E7"/>
    <w:rsid w:val="00D85B97"/>
    <w:rsid w:val="00D9050F"/>
    <w:rsid w:val="00D91B8E"/>
    <w:rsid w:val="00D92544"/>
    <w:rsid w:val="00D929ED"/>
    <w:rsid w:val="00D95CAF"/>
    <w:rsid w:val="00D9779A"/>
    <w:rsid w:val="00DA063F"/>
    <w:rsid w:val="00DA1F1E"/>
    <w:rsid w:val="00DA26BC"/>
    <w:rsid w:val="00DA3CB3"/>
    <w:rsid w:val="00DA3F34"/>
    <w:rsid w:val="00DA4796"/>
    <w:rsid w:val="00DA7E16"/>
    <w:rsid w:val="00DB0171"/>
    <w:rsid w:val="00DB1E1A"/>
    <w:rsid w:val="00DB4D17"/>
    <w:rsid w:val="00DB61F6"/>
    <w:rsid w:val="00DB7CD6"/>
    <w:rsid w:val="00DC2F22"/>
    <w:rsid w:val="00DC3060"/>
    <w:rsid w:val="00DD0D13"/>
    <w:rsid w:val="00DD3D01"/>
    <w:rsid w:val="00DD4E52"/>
    <w:rsid w:val="00DD6181"/>
    <w:rsid w:val="00DD6935"/>
    <w:rsid w:val="00DD7427"/>
    <w:rsid w:val="00DE2083"/>
    <w:rsid w:val="00DE26A1"/>
    <w:rsid w:val="00DE3B47"/>
    <w:rsid w:val="00DE3BA4"/>
    <w:rsid w:val="00DE41A3"/>
    <w:rsid w:val="00DE43A8"/>
    <w:rsid w:val="00DE43C7"/>
    <w:rsid w:val="00DE540C"/>
    <w:rsid w:val="00DE5BB0"/>
    <w:rsid w:val="00DE617E"/>
    <w:rsid w:val="00DE67A2"/>
    <w:rsid w:val="00DF0FE3"/>
    <w:rsid w:val="00DF1BFA"/>
    <w:rsid w:val="00DF40EA"/>
    <w:rsid w:val="00DF4A05"/>
    <w:rsid w:val="00DF6B59"/>
    <w:rsid w:val="00DF708B"/>
    <w:rsid w:val="00DF71D4"/>
    <w:rsid w:val="00E05E1F"/>
    <w:rsid w:val="00E11084"/>
    <w:rsid w:val="00E119DD"/>
    <w:rsid w:val="00E12425"/>
    <w:rsid w:val="00E151B5"/>
    <w:rsid w:val="00E1594C"/>
    <w:rsid w:val="00E168B6"/>
    <w:rsid w:val="00E17D5F"/>
    <w:rsid w:val="00E2467B"/>
    <w:rsid w:val="00E25A68"/>
    <w:rsid w:val="00E3078F"/>
    <w:rsid w:val="00E30C2D"/>
    <w:rsid w:val="00E32D94"/>
    <w:rsid w:val="00E33442"/>
    <w:rsid w:val="00E41AF1"/>
    <w:rsid w:val="00E43820"/>
    <w:rsid w:val="00E438A7"/>
    <w:rsid w:val="00E43A23"/>
    <w:rsid w:val="00E441AB"/>
    <w:rsid w:val="00E50F1D"/>
    <w:rsid w:val="00E529A4"/>
    <w:rsid w:val="00E531E2"/>
    <w:rsid w:val="00E53A79"/>
    <w:rsid w:val="00E568FE"/>
    <w:rsid w:val="00E56AFD"/>
    <w:rsid w:val="00E6423D"/>
    <w:rsid w:val="00E669CC"/>
    <w:rsid w:val="00E66F42"/>
    <w:rsid w:val="00E67CC1"/>
    <w:rsid w:val="00E67F55"/>
    <w:rsid w:val="00E7005C"/>
    <w:rsid w:val="00E72321"/>
    <w:rsid w:val="00E72365"/>
    <w:rsid w:val="00E729EF"/>
    <w:rsid w:val="00E73980"/>
    <w:rsid w:val="00E74D1A"/>
    <w:rsid w:val="00E752F9"/>
    <w:rsid w:val="00E768AE"/>
    <w:rsid w:val="00E77216"/>
    <w:rsid w:val="00E805E2"/>
    <w:rsid w:val="00E81E22"/>
    <w:rsid w:val="00E825B7"/>
    <w:rsid w:val="00E83706"/>
    <w:rsid w:val="00E8400D"/>
    <w:rsid w:val="00E84358"/>
    <w:rsid w:val="00E843D4"/>
    <w:rsid w:val="00E874DF"/>
    <w:rsid w:val="00E9021D"/>
    <w:rsid w:val="00E92D03"/>
    <w:rsid w:val="00E92EE1"/>
    <w:rsid w:val="00E94DD5"/>
    <w:rsid w:val="00E95A20"/>
    <w:rsid w:val="00E95C37"/>
    <w:rsid w:val="00EA02C4"/>
    <w:rsid w:val="00EA0699"/>
    <w:rsid w:val="00EA3030"/>
    <w:rsid w:val="00EA7D10"/>
    <w:rsid w:val="00EB1E0D"/>
    <w:rsid w:val="00EB30B3"/>
    <w:rsid w:val="00EB39C4"/>
    <w:rsid w:val="00EB3B0E"/>
    <w:rsid w:val="00EB5AC3"/>
    <w:rsid w:val="00EB66F9"/>
    <w:rsid w:val="00EB6E06"/>
    <w:rsid w:val="00EC09D6"/>
    <w:rsid w:val="00EC571D"/>
    <w:rsid w:val="00EC63DF"/>
    <w:rsid w:val="00ED10E1"/>
    <w:rsid w:val="00ED2466"/>
    <w:rsid w:val="00ED3159"/>
    <w:rsid w:val="00EE4139"/>
    <w:rsid w:val="00EE4B7F"/>
    <w:rsid w:val="00EF1413"/>
    <w:rsid w:val="00EF141F"/>
    <w:rsid w:val="00EF2D37"/>
    <w:rsid w:val="00EF317E"/>
    <w:rsid w:val="00EF3801"/>
    <w:rsid w:val="00EF3FA9"/>
    <w:rsid w:val="00EF5DBB"/>
    <w:rsid w:val="00EF62E0"/>
    <w:rsid w:val="00EF6DFA"/>
    <w:rsid w:val="00F02377"/>
    <w:rsid w:val="00F02659"/>
    <w:rsid w:val="00F05BB9"/>
    <w:rsid w:val="00F06F01"/>
    <w:rsid w:val="00F07BDC"/>
    <w:rsid w:val="00F11B84"/>
    <w:rsid w:val="00F13CE1"/>
    <w:rsid w:val="00F2070D"/>
    <w:rsid w:val="00F21F9A"/>
    <w:rsid w:val="00F300D9"/>
    <w:rsid w:val="00F3074E"/>
    <w:rsid w:val="00F30E78"/>
    <w:rsid w:val="00F31BA4"/>
    <w:rsid w:val="00F31D2F"/>
    <w:rsid w:val="00F339D2"/>
    <w:rsid w:val="00F354E0"/>
    <w:rsid w:val="00F35760"/>
    <w:rsid w:val="00F35A3F"/>
    <w:rsid w:val="00F360B4"/>
    <w:rsid w:val="00F361F9"/>
    <w:rsid w:val="00F365D5"/>
    <w:rsid w:val="00F369EB"/>
    <w:rsid w:val="00F41508"/>
    <w:rsid w:val="00F41665"/>
    <w:rsid w:val="00F46D72"/>
    <w:rsid w:val="00F5030B"/>
    <w:rsid w:val="00F50B57"/>
    <w:rsid w:val="00F52019"/>
    <w:rsid w:val="00F52055"/>
    <w:rsid w:val="00F52987"/>
    <w:rsid w:val="00F52CD3"/>
    <w:rsid w:val="00F5557C"/>
    <w:rsid w:val="00F56C9C"/>
    <w:rsid w:val="00F62F3F"/>
    <w:rsid w:val="00F6300D"/>
    <w:rsid w:val="00F63D59"/>
    <w:rsid w:val="00F64F10"/>
    <w:rsid w:val="00F659C3"/>
    <w:rsid w:val="00F67795"/>
    <w:rsid w:val="00F67BFD"/>
    <w:rsid w:val="00F71075"/>
    <w:rsid w:val="00F75AAB"/>
    <w:rsid w:val="00F76BF8"/>
    <w:rsid w:val="00F803FD"/>
    <w:rsid w:val="00F80A38"/>
    <w:rsid w:val="00F81887"/>
    <w:rsid w:val="00F81E47"/>
    <w:rsid w:val="00F86EF9"/>
    <w:rsid w:val="00FA4298"/>
    <w:rsid w:val="00FA6FD3"/>
    <w:rsid w:val="00FA7861"/>
    <w:rsid w:val="00FB664A"/>
    <w:rsid w:val="00FB6D1E"/>
    <w:rsid w:val="00FC1CFE"/>
    <w:rsid w:val="00FC23B7"/>
    <w:rsid w:val="00FC34DC"/>
    <w:rsid w:val="00FC4DA8"/>
    <w:rsid w:val="00FC6A8F"/>
    <w:rsid w:val="00FD04F2"/>
    <w:rsid w:val="00FD08F6"/>
    <w:rsid w:val="00FD0929"/>
    <w:rsid w:val="00FD0E8E"/>
    <w:rsid w:val="00FD54CD"/>
    <w:rsid w:val="00FD77D0"/>
    <w:rsid w:val="00FE1DD0"/>
    <w:rsid w:val="00FE2137"/>
    <w:rsid w:val="00FE278F"/>
    <w:rsid w:val="00FE7306"/>
    <w:rsid w:val="00FE745D"/>
    <w:rsid w:val="00FF0097"/>
    <w:rsid w:val="00FF0AF6"/>
    <w:rsid w:val="00FF0E47"/>
    <w:rsid w:val="00FF15BB"/>
    <w:rsid w:val="00FF6578"/>
    <w:rsid w:val="00FF6A8C"/>
    <w:rsid w:val="00FF6EF9"/>
    <w:rsid w:val="02A708CC"/>
    <w:rsid w:val="02C357CD"/>
    <w:rsid w:val="032F5DBB"/>
    <w:rsid w:val="04193FE0"/>
    <w:rsid w:val="04570043"/>
    <w:rsid w:val="05C621A5"/>
    <w:rsid w:val="06866741"/>
    <w:rsid w:val="07E04712"/>
    <w:rsid w:val="0808001C"/>
    <w:rsid w:val="09CD7409"/>
    <w:rsid w:val="09F2765A"/>
    <w:rsid w:val="0B066035"/>
    <w:rsid w:val="0C1E68CB"/>
    <w:rsid w:val="0C60497E"/>
    <w:rsid w:val="0E382E29"/>
    <w:rsid w:val="0EA164F4"/>
    <w:rsid w:val="0F5452B9"/>
    <w:rsid w:val="10AF4BB0"/>
    <w:rsid w:val="115A02CC"/>
    <w:rsid w:val="144F3C3C"/>
    <w:rsid w:val="157102B4"/>
    <w:rsid w:val="16287B61"/>
    <w:rsid w:val="16A0109B"/>
    <w:rsid w:val="16EE2EBF"/>
    <w:rsid w:val="170453DF"/>
    <w:rsid w:val="189A16BF"/>
    <w:rsid w:val="191D4068"/>
    <w:rsid w:val="195058F7"/>
    <w:rsid w:val="1C6903CD"/>
    <w:rsid w:val="1C6D688A"/>
    <w:rsid w:val="1D00588D"/>
    <w:rsid w:val="1D2A6B28"/>
    <w:rsid w:val="1DBB1D8B"/>
    <w:rsid w:val="1F563844"/>
    <w:rsid w:val="200069D2"/>
    <w:rsid w:val="205B29F2"/>
    <w:rsid w:val="211A7ABE"/>
    <w:rsid w:val="240B0FEB"/>
    <w:rsid w:val="259A5141"/>
    <w:rsid w:val="26A54688"/>
    <w:rsid w:val="26B62BDB"/>
    <w:rsid w:val="2A5621AD"/>
    <w:rsid w:val="2BAC28F6"/>
    <w:rsid w:val="2C3A2445"/>
    <w:rsid w:val="2C7A061B"/>
    <w:rsid w:val="2E150EE2"/>
    <w:rsid w:val="2E9E4558"/>
    <w:rsid w:val="30DC5712"/>
    <w:rsid w:val="31041FCC"/>
    <w:rsid w:val="320C751D"/>
    <w:rsid w:val="32263770"/>
    <w:rsid w:val="3271608D"/>
    <w:rsid w:val="376E5A8C"/>
    <w:rsid w:val="378325B9"/>
    <w:rsid w:val="37F1671F"/>
    <w:rsid w:val="38DD5108"/>
    <w:rsid w:val="3990795F"/>
    <w:rsid w:val="3A2D3461"/>
    <w:rsid w:val="3A4D4E4D"/>
    <w:rsid w:val="3BB50935"/>
    <w:rsid w:val="3DF6741A"/>
    <w:rsid w:val="3E4B576C"/>
    <w:rsid w:val="3F061C33"/>
    <w:rsid w:val="3FE1564D"/>
    <w:rsid w:val="40576923"/>
    <w:rsid w:val="415C2D25"/>
    <w:rsid w:val="41AB1B48"/>
    <w:rsid w:val="43584744"/>
    <w:rsid w:val="4409676E"/>
    <w:rsid w:val="445A1F29"/>
    <w:rsid w:val="45BD0774"/>
    <w:rsid w:val="464D497E"/>
    <w:rsid w:val="46E55CED"/>
    <w:rsid w:val="479D334B"/>
    <w:rsid w:val="47AE77D9"/>
    <w:rsid w:val="47B962A9"/>
    <w:rsid w:val="47D75BD5"/>
    <w:rsid w:val="4ACD663F"/>
    <w:rsid w:val="4B107846"/>
    <w:rsid w:val="4C8005C1"/>
    <w:rsid w:val="4E7A4CD8"/>
    <w:rsid w:val="4E8F5AB3"/>
    <w:rsid w:val="4F74219C"/>
    <w:rsid w:val="4FE944FC"/>
    <w:rsid w:val="509F2DA4"/>
    <w:rsid w:val="51F232D1"/>
    <w:rsid w:val="521E4429"/>
    <w:rsid w:val="53E650F7"/>
    <w:rsid w:val="543449DD"/>
    <w:rsid w:val="54F8643A"/>
    <w:rsid w:val="56F806CC"/>
    <w:rsid w:val="56FB16CE"/>
    <w:rsid w:val="57324726"/>
    <w:rsid w:val="578B673F"/>
    <w:rsid w:val="5896752E"/>
    <w:rsid w:val="58AA5865"/>
    <w:rsid w:val="58C83D4C"/>
    <w:rsid w:val="5D2307A0"/>
    <w:rsid w:val="5E533217"/>
    <w:rsid w:val="5E644701"/>
    <w:rsid w:val="5E8B7EA9"/>
    <w:rsid w:val="5EDC2067"/>
    <w:rsid w:val="5F4B77D1"/>
    <w:rsid w:val="60074B98"/>
    <w:rsid w:val="619F0E98"/>
    <w:rsid w:val="61A54FA5"/>
    <w:rsid w:val="61DA154F"/>
    <w:rsid w:val="67397DD8"/>
    <w:rsid w:val="683223D2"/>
    <w:rsid w:val="68A77014"/>
    <w:rsid w:val="69E22BA2"/>
    <w:rsid w:val="6A880D80"/>
    <w:rsid w:val="6AD9467D"/>
    <w:rsid w:val="6CF94333"/>
    <w:rsid w:val="701F47E6"/>
    <w:rsid w:val="72563436"/>
    <w:rsid w:val="73934A4C"/>
    <w:rsid w:val="76947064"/>
    <w:rsid w:val="779A6C12"/>
    <w:rsid w:val="78A05F13"/>
    <w:rsid w:val="7AF91BBF"/>
    <w:rsid w:val="7C5B4042"/>
    <w:rsid w:val="7D2B66F4"/>
    <w:rsid w:val="7D943D47"/>
    <w:rsid w:val="7E7A5938"/>
    <w:rsid w:val="7FBC0C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1"/>
    <w:semiHidden/>
    <w:qFormat/>
    <w:uiPriority w:val="99"/>
    <w:rPr>
      <w:rFonts w:ascii="宋体"/>
      <w:kern w:val="0"/>
      <w:sz w:val="18"/>
      <w:szCs w:val="20"/>
    </w:rPr>
  </w:style>
  <w:style w:type="paragraph" w:styleId="3">
    <w:name w:val="Body Text Indent 2"/>
    <w:basedOn w:val="1"/>
    <w:link w:val="12"/>
    <w:qFormat/>
    <w:uiPriority w:val="99"/>
    <w:pPr>
      <w:adjustRightInd w:val="0"/>
      <w:snapToGrid w:val="0"/>
      <w:spacing w:line="540" w:lineRule="exact"/>
      <w:ind w:firstLine="624"/>
    </w:pPr>
    <w:rPr>
      <w:kern w:val="0"/>
      <w:szCs w:val="20"/>
    </w:rPr>
  </w:style>
  <w:style w:type="paragraph" w:styleId="4">
    <w:name w:val="Balloon Text"/>
    <w:basedOn w:val="1"/>
    <w:link w:val="13"/>
    <w:autoRedefine/>
    <w:semiHidden/>
    <w:qFormat/>
    <w:uiPriority w:val="99"/>
    <w:rPr>
      <w:kern w:val="0"/>
      <w:sz w:val="18"/>
      <w:szCs w:val="20"/>
    </w:rPr>
  </w:style>
  <w:style w:type="paragraph" w:styleId="5">
    <w:name w:val="footer"/>
    <w:basedOn w:val="1"/>
    <w:link w:val="14"/>
    <w:autoRedefine/>
    <w:qFormat/>
    <w:uiPriority w:val="99"/>
    <w:pPr>
      <w:tabs>
        <w:tab w:val="center" w:pos="4153"/>
        <w:tab w:val="right" w:pos="8306"/>
      </w:tabs>
      <w:snapToGrid w:val="0"/>
      <w:jc w:val="left"/>
    </w:pPr>
    <w:rPr>
      <w:kern w:val="0"/>
      <w:sz w:val="18"/>
      <w:szCs w:val="20"/>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Hyperlink"/>
    <w:qFormat/>
    <w:uiPriority w:val="99"/>
    <w:rPr>
      <w:rFonts w:cs="Times New Roman"/>
      <w:color w:val="0000FF"/>
      <w:u w:val="single"/>
    </w:rPr>
  </w:style>
  <w:style w:type="character" w:customStyle="1" w:styleId="11">
    <w:name w:val="文档结构图 字符"/>
    <w:link w:val="2"/>
    <w:semiHidden/>
    <w:qFormat/>
    <w:locked/>
    <w:uiPriority w:val="99"/>
    <w:rPr>
      <w:rFonts w:ascii="宋体" w:hAnsi="Times New Roman" w:eastAsia="宋体"/>
      <w:sz w:val="18"/>
    </w:rPr>
  </w:style>
  <w:style w:type="character" w:customStyle="1" w:styleId="12">
    <w:name w:val="正文文本缩进 2 字符"/>
    <w:link w:val="3"/>
    <w:semiHidden/>
    <w:qFormat/>
    <w:locked/>
    <w:uiPriority w:val="99"/>
    <w:rPr>
      <w:rFonts w:ascii="Times New Roman" w:hAnsi="Times New Roman"/>
      <w:sz w:val="21"/>
    </w:rPr>
  </w:style>
  <w:style w:type="character" w:customStyle="1" w:styleId="13">
    <w:name w:val="批注框文本 字符"/>
    <w:link w:val="4"/>
    <w:semiHidden/>
    <w:qFormat/>
    <w:locked/>
    <w:uiPriority w:val="99"/>
    <w:rPr>
      <w:rFonts w:ascii="Times New Roman" w:hAnsi="Times New Roman" w:eastAsia="宋体"/>
      <w:sz w:val="18"/>
    </w:rPr>
  </w:style>
  <w:style w:type="character" w:customStyle="1" w:styleId="14">
    <w:name w:val="页脚 字符"/>
    <w:link w:val="5"/>
    <w:autoRedefine/>
    <w:qFormat/>
    <w:locked/>
    <w:uiPriority w:val="99"/>
    <w:rPr>
      <w:rFonts w:ascii="Times New Roman" w:hAnsi="Times New Roman" w:eastAsia="宋体"/>
      <w:sz w:val="18"/>
    </w:rPr>
  </w:style>
  <w:style w:type="character" w:customStyle="1" w:styleId="15">
    <w:name w:val="页眉 字符"/>
    <w:link w:val="6"/>
    <w:qFormat/>
    <w:locked/>
    <w:uiPriority w:val="99"/>
    <w:rPr>
      <w:rFonts w:ascii="Times New Roman" w:hAnsi="Times New Roman" w:eastAsia="宋体"/>
      <w:sz w:val="18"/>
    </w:rPr>
  </w:style>
  <w:style w:type="paragraph" w:customStyle="1" w:styleId="16">
    <w:name w:val="Char"/>
    <w:basedOn w:val="1"/>
    <w:qFormat/>
    <w:uiPriority w:val="99"/>
    <w:pPr>
      <w:widowControl/>
      <w:spacing w:after="160" w:line="240" w:lineRule="exact"/>
      <w:jc w:val="left"/>
    </w:pPr>
    <w:rPr>
      <w:rFonts w:eastAsia="仿宋_GB2312"/>
      <w:sz w:val="32"/>
      <w:szCs w:val="32"/>
    </w:rPr>
  </w:style>
  <w:style w:type="paragraph" w:customStyle="1" w:styleId="17">
    <w:name w:val="Char Char Char Char"/>
    <w:basedOn w:val="1"/>
    <w:qFormat/>
    <w:uiPriority w:val="99"/>
    <w:rPr>
      <w:rFonts w:ascii="Tahoma" w:hAnsi="Tahoma" w:cs="Tahoma"/>
      <w:sz w:val="24"/>
      <w:szCs w:val="24"/>
    </w:rPr>
  </w:style>
  <w:style w:type="paragraph" w:customStyle="1" w:styleId="18">
    <w:name w:val="Char3"/>
    <w:basedOn w:val="1"/>
    <w:qFormat/>
    <w:uiPriority w:val="99"/>
  </w:style>
  <w:style w:type="paragraph" w:customStyle="1" w:styleId="19">
    <w:name w:val="Char Char Char Char3"/>
    <w:basedOn w:val="2"/>
    <w:autoRedefine/>
    <w:qFormat/>
    <w:uiPriority w:val="99"/>
    <w:pPr>
      <w:shd w:val="clear" w:color="auto" w:fill="000080"/>
      <w:adjustRightInd w:val="0"/>
      <w:snapToGrid w:val="0"/>
      <w:spacing w:line="360" w:lineRule="auto"/>
    </w:pPr>
    <w:rPr>
      <w:rFonts w:ascii="Times New Roman"/>
      <w:sz w:val="21"/>
      <w:szCs w:val="21"/>
    </w:rPr>
  </w:style>
  <w:style w:type="paragraph" w:customStyle="1" w:styleId="20">
    <w:name w:val="Char Char Char Char2"/>
    <w:basedOn w:val="1"/>
    <w:autoRedefine/>
    <w:qFormat/>
    <w:uiPriority w:val="99"/>
    <w:rPr>
      <w:rFonts w:ascii="Tahoma" w:hAnsi="Tahoma" w:cs="Tahoma"/>
      <w:sz w:val="24"/>
      <w:szCs w:val="24"/>
    </w:rPr>
  </w:style>
  <w:style w:type="paragraph" w:customStyle="1" w:styleId="21">
    <w:name w:val="Char Char Char Char Char Char Char Char Char Char"/>
    <w:basedOn w:val="1"/>
    <w:qFormat/>
    <w:uiPriority w:val="99"/>
    <w:rPr>
      <w:rFonts w:ascii="仿宋_GB2312" w:hAnsi="??" w:eastAsia="仿宋_GB2312" w:cs="仿宋_GB2312"/>
      <w:spacing w:val="15"/>
      <w:sz w:val="28"/>
      <w:szCs w:val="28"/>
    </w:rPr>
  </w:style>
  <w:style w:type="paragraph" w:customStyle="1" w:styleId="22">
    <w:name w:val="Char2"/>
    <w:basedOn w:val="1"/>
    <w:qFormat/>
    <w:uiPriority w:val="99"/>
  </w:style>
  <w:style w:type="paragraph" w:customStyle="1" w:styleId="23">
    <w:name w:val="Char Char Char Char1"/>
    <w:basedOn w:val="1"/>
    <w:qFormat/>
    <w:uiPriority w:val="99"/>
    <w:rPr>
      <w:rFonts w:ascii="Tahoma" w:hAnsi="Tahoma" w:cs="Tahoma"/>
      <w:sz w:val="24"/>
      <w:szCs w:val="24"/>
    </w:rPr>
  </w:style>
  <w:style w:type="paragraph" w:customStyle="1" w:styleId="24">
    <w:name w:val="Char1"/>
    <w:basedOn w:val="1"/>
    <w:qFormat/>
    <w:uiPriority w:val="99"/>
  </w:style>
  <w:style w:type="paragraph" w:customStyle="1" w:styleId="25">
    <w:name w:val="Char4"/>
    <w:basedOn w:val="1"/>
    <w:qFormat/>
    <w:uiPriority w:val="99"/>
  </w:style>
  <w:style w:type="paragraph" w:customStyle="1" w:styleId="26">
    <w:name w:val="Char Char Char Char4"/>
    <w:basedOn w:val="1"/>
    <w:qFormat/>
    <w:uiPriority w:val="99"/>
    <w:rPr>
      <w:rFonts w:ascii="Tahoma" w:hAnsi="Tahoma" w:cs="Tahoma"/>
      <w:sz w:val="24"/>
      <w:szCs w:val="24"/>
    </w:rPr>
  </w:style>
  <w:style w:type="paragraph" w:customStyle="1" w:styleId="27">
    <w:name w:val="Char Char"/>
    <w:basedOn w:val="1"/>
    <w:qFormat/>
    <w:uiPriority w:val="99"/>
    <w:rPr>
      <w:rFonts w:ascii="Tahoma" w:hAnsi="Tahoma" w:cs="Tahoma"/>
      <w:sz w:val="24"/>
      <w:szCs w:val="24"/>
    </w:rPr>
  </w:style>
  <w:style w:type="paragraph" w:customStyle="1" w:styleId="28">
    <w:name w:val="Char Char3 Char Char"/>
    <w:basedOn w:val="1"/>
    <w:qFormat/>
    <w:uiPriority w:val="99"/>
    <w:pPr>
      <w:tabs>
        <w:tab w:val="left" w:pos="360"/>
      </w:tabs>
    </w:pPr>
    <w:rPr>
      <w:sz w:val="24"/>
      <w:szCs w:val="24"/>
    </w:rPr>
  </w:style>
  <w:style w:type="paragraph" w:customStyle="1" w:styleId="29">
    <w:name w:val="Char Char Char Char5"/>
    <w:basedOn w:val="1"/>
    <w:autoRedefine/>
    <w:qFormat/>
    <w:uiPriority w:val="99"/>
    <w:rPr>
      <w:rFonts w:ascii="Tahoma" w:hAnsi="Tahoma" w:cs="Tahoma"/>
      <w:sz w:val="24"/>
      <w:szCs w:val="24"/>
    </w:rPr>
  </w:style>
  <w:style w:type="paragraph" w:styleId="3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45975-760E-48A2-976E-50F791AD6A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1059</Words>
  <Characters>6041</Characters>
  <Lines>50</Lines>
  <Paragraphs>14</Paragraphs>
  <TotalTime>1439</TotalTime>
  <ScaleCrop>false</ScaleCrop>
  <LinksUpToDate>false</LinksUpToDate>
  <CharactersWithSpaces>7086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2021-01-06T01:43:00Z</dcterms:created>
  <dc:creator>ty</dc:creator>
  <cp:lastModifiedBy>好的</cp:lastModifiedBy>
  <cp:lastPrinted>2022-01-06T01:16:00Z</cp:lastPrinted>
  <dcterms:modified xsi:type="dcterms:W3CDTF">2024-05-16T06:47:35Z</dcterms:modified>
  <dc:title>金湖县十四届人大</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4370BF71DF4244958F66329C6A0F85A1_12</vt:lpwstr>
  </property>
</Properties>
</file>