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上半年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工作总结和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下半年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ascii="楷体" w:hAnsi="楷体" w:eastAsia="楷体" w:cs="楷体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highlight w:val="none"/>
        </w:rPr>
        <w:t>金湖县工业和信息化局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highlight w:val="none"/>
        </w:rPr>
        <w:t>（202</w:t>
      </w:r>
      <w:r>
        <w:rPr>
          <w:rFonts w:hint="eastAsia" w:eastAsia="方正楷体_GBK" w:cs="Times New Roman"/>
          <w:b w:val="0"/>
          <w:bCs w:val="0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highlight w:val="none"/>
        </w:rPr>
        <w:t>年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highlight w:val="none"/>
        </w:rPr>
        <w:t>月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highlight w:val="none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ascii="仿宋_GB2312" w:hAnsi="仿宋_GB2312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今年以来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，在县委、县政府的坚强领导下，县工信局紧紧围绕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年初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省市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县下达的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高质量跨越发展考核目标任务，始终保持“对标找差”的清醒头脑，运用“补短强特”的系统方法，践行“创新实干”的过硬作风，推动各项工作取得了较好成绩。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</w:rPr>
        <w:t>一、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今年以来工作总结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  <w:t>（一）主要任务完成情况</w:t>
      </w:r>
    </w:p>
    <w:p>
      <w:pPr>
        <w:snapToGrid w:val="0"/>
        <w:spacing w:line="560" w:lineRule="exact"/>
        <w:ind w:firstLine="632" w:firstLineChars="200"/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highlight w:val="none"/>
          <w:lang w:val="en-US" w:eastAsia="zh-CN"/>
        </w:rPr>
        <w:t>1. 核心指标</w:t>
      </w:r>
      <w:r>
        <w:rPr>
          <w:rFonts w:hint="eastAsia" w:eastAsia="方正仿宋_GBK" w:cs="Times New Roman"/>
          <w:b/>
          <w:bCs/>
          <w:color w:val="auto"/>
          <w:highlight w:val="none"/>
          <w:lang w:val="en-US" w:eastAsia="zh-CN"/>
        </w:rPr>
        <w:t>稳步推进</w:t>
      </w:r>
      <w:r>
        <w:rPr>
          <w:rFonts w:hint="eastAsia" w:ascii="Times New Roman" w:hAnsi="Times New Roman" w:eastAsia="方正仿宋_GBK" w:cs="Times New Roman"/>
          <w:b/>
          <w:bCs/>
          <w:color w:val="auto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规上工业产值：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1-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月份完成156.2亿元、同比增长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5.6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%，全市排名第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；上半年预计完成240亿元、同比增长8%，全市排名第5。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规上工业开票销售：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1-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月份完成135.3亿元、同比增长5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.1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%，全市排名第6；上半年预计完成195亿元、同比增长6%，全市排名第5。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规上工业企业入库税收：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1-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月份完成4.6亿元、同比下降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11.2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%；上半年预计完成6.5亿元、同比下降20%。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规上工业用电量：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1-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月份完成3.9亿千瓦时、同比增长1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7.6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%，；上半年预计完成5.6亿千瓦时、同比增长16%。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新增规上工业企业：1-4月份新增规上工业企业23户，预计1-6月份预计新增上工业企业25户。</w:t>
      </w: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highlight w:val="none"/>
          <w:lang w:val="en-US" w:eastAsia="zh-CN"/>
        </w:rPr>
        <w:t xml:space="preserve">2. </w:t>
      </w:r>
      <w:r>
        <w:rPr>
          <w:rFonts w:hint="eastAsia" w:eastAsia="方正仿宋_GBK" w:cs="Times New Roman"/>
          <w:b/>
          <w:bCs/>
          <w:color w:val="auto"/>
          <w:highlight w:val="none"/>
          <w:lang w:val="en-US" w:eastAsia="zh-CN"/>
        </w:rPr>
        <w:t>招商引资取得实效</w:t>
      </w:r>
      <w:r>
        <w:rPr>
          <w:rFonts w:hint="eastAsia" w:ascii="Times New Roman" w:hAnsi="Times New Roman" w:eastAsia="方正仿宋_GBK" w:cs="Times New Roman"/>
          <w:b/>
          <w:bCs/>
          <w:color w:val="auto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上半年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完成招引项目1个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由江苏天和化工设备制造有限公司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总投资1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.1亿元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年产60台套多效蒸发器技改项目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完成开工项目2个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由江苏神华药业科技有限公司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总投资1.1亿元年产90吨中药提取生产线技改项目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江苏天和化工设备制造有限公司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总投资1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.1亿元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年产60台套多效蒸发器技改项目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9"/>
        <w:ind w:firstLine="632" w:firstLineChars="20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3. 项目研判有序开展。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上半年共召开全县工业重大项目评审会4次，共有33个项目上会评审，32个项目通过评审，对接市产业专班对我县10亿元项目进行研判，共研判10亿元以上项目11个。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/>
          <w:bCs/>
          <w:color w:val="auto"/>
          <w:highlight w:val="none"/>
          <w:lang w:val="en-US" w:eastAsia="zh-CN"/>
        </w:rPr>
        <w:t>. 创新转型有声有色。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大力推动我县企业高端化发展，建立重大技改项目清单，鼓励企业发挥主体作用，积极做好技术升级、科技创新等工作。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共推荐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江苏堃阳自动化设备有限公司、江苏神盾工程机械有限公司、江苏协诚智能设备有限公司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等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家企业装备申报202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年省级首台（套）重大装备认定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，申报新技术新产品鉴定7个；摸排全年计划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实施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千企技改项目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，目前已实施60个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，常规跟踪省重大工业项目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个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，跟踪市百亿（50亿）培育项目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/>
          <w:bCs/>
          <w:color w:val="auto"/>
          <w:highlight w:val="none"/>
          <w:lang w:val="en-US" w:eastAsia="zh-CN"/>
        </w:rPr>
        <w:t>. 智改数转</w:t>
      </w:r>
      <w:r>
        <w:rPr>
          <w:rFonts w:hint="eastAsia" w:eastAsia="方正仿宋_GBK" w:cs="Times New Roman"/>
          <w:b/>
          <w:bCs/>
          <w:color w:val="auto"/>
          <w:highlight w:val="none"/>
          <w:lang w:val="en-US" w:eastAsia="zh-CN"/>
        </w:rPr>
        <w:t>有序推进</w:t>
      </w:r>
      <w:r>
        <w:rPr>
          <w:rFonts w:hint="eastAsia" w:ascii="Times New Roman" w:hAnsi="Times New Roman" w:eastAsia="方正仿宋_GBK" w:cs="Times New Roman"/>
          <w:b/>
          <w:bCs/>
          <w:color w:val="auto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深入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开展智改数转网联行动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，全力推动企业加快数实融合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步伐，上半年，经企业申报、专家现场核查，推荐了南高齿等12家企业申报省智能制造示范车间项目、西派集团有限公司申报省制造业“智改数转网联”标杆企业项目和省企业级重点工业互联网平台项目。。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b/>
          <w:bCs/>
          <w:color w:val="auto"/>
          <w:highlight w:val="none"/>
          <w:lang w:val="en-US" w:eastAsia="zh-CN"/>
        </w:rPr>
        <w:t>. 专精特新</w:t>
      </w:r>
      <w:r>
        <w:rPr>
          <w:rFonts w:hint="eastAsia" w:eastAsia="方正仿宋_GBK" w:cs="Times New Roman"/>
          <w:b/>
          <w:bCs/>
          <w:color w:val="auto"/>
          <w:highlight w:val="none"/>
          <w:lang w:val="en-US" w:eastAsia="zh-CN"/>
        </w:rPr>
        <w:t>全市领跑</w:t>
      </w:r>
      <w:r>
        <w:rPr>
          <w:rFonts w:hint="eastAsia" w:ascii="Times New Roman" w:hAnsi="Times New Roman" w:eastAsia="方正仿宋_GBK" w:cs="Times New Roman"/>
          <w:b/>
          <w:bCs/>
          <w:color w:val="auto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深入推进专精特新企业培育工作，定期举办企业观摩、企业培训等活动，加强企业自身能力。上半年，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获批第一批省级专精特新企业12家，数量全市第一；推荐神华药业、鼎鑫智造等16家企业申报国家级专精特新企业，结果尚未公布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b/>
          <w:bCs/>
          <w:color w:val="auto"/>
          <w:highlight w:val="none"/>
          <w:lang w:val="en-US" w:eastAsia="zh-CN"/>
        </w:rPr>
        <w:t>. 各项工作扎实开展。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在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抓好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工业经济、考核指标等各项主责主业的同时，我局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在党的建设、意识形态、飞线整治、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安全生产、信访稳定、矛盾化解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、双拥统战、工共青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等各项工作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上也加以统筹推进，毫不松劲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  <w:t>（二）特色亮点工作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highlight w:val="none"/>
          <w:lang w:val="en-US" w:eastAsia="zh-CN"/>
        </w:rPr>
        <w:t>1. 积极发放惠企资金。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依据《金湖县智能制造三年行动计划2019-2021年试行》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依据《金湖县工业重大项目招商引资奖励办法》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等文件精神，我局对全县企业进行摸排，积极兑现2023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年奖励资金。上半年，2023年度金湖县制造业高质量发展专项资金（第一批）拟奖补企业149家，拟奖补项目300个，拟奖补资金5745.02万元；2023年度金湖县工业重大项目招商引资奖励（第一批）拟奖补企业8家，拟奖补项目9个，拟奖补资金32160.08万元；根据《金湖县智能制造三年行动计划》（金政发〔2019〕77号）文件，经审计确认、评审小组评审、对照政策文件规定，最终确认第一批拟奖补西派集团有限公司补贴利息金额198.45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highlight w:val="none"/>
          <w:lang w:val="en-US" w:eastAsia="zh-CN"/>
        </w:rPr>
        <w:t>2. 积极推进工业经济。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每月召开工业经济形势分析会，汇报并分析主要指标完成情况（产值、开票、用电量、投资、新增规上企业培育等），对强项指标强化推进，对弱项指标寻找对策。同时，及时发现企业生产经营中存在问题，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并研究探讨解决的措施。实行规上企业三级领导挂钩责任制，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县四套班子及副处级以上领导干部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为第一责任人，各镇（街道）、部门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主要负责人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为直接负责人，各镇（街道）、部门分管负责人为具体负责人，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坚持深入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企业生产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现场，开展会办督查，协调解决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生产经营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过程中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存在的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重点难点问题。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highlight w:val="none"/>
          <w:lang w:val="en-US" w:eastAsia="zh-CN"/>
        </w:rPr>
        <w:t>3 积极</w:t>
      </w:r>
      <w:r>
        <w:rPr>
          <w:rFonts w:hint="eastAsia" w:eastAsia="方正仿宋_GBK" w:cs="Times New Roman"/>
          <w:b/>
          <w:bCs/>
          <w:color w:val="auto"/>
          <w:highlight w:val="none"/>
          <w:lang w:val="en-US" w:eastAsia="zh-CN"/>
        </w:rPr>
        <w:t>承办会议活动</w:t>
      </w:r>
      <w:r>
        <w:rPr>
          <w:rFonts w:hint="eastAsia" w:ascii="Times New Roman" w:hAnsi="Times New Roman" w:eastAsia="方正仿宋_GBK" w:cs="Times New Roman"/>
          <w:b/>
          <w:bCs/>
          <w:color w:val="auto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1月6日，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局承办县域经济突破大会，推进全县新型工业化发展进程，推动全县工业经济发展。2月25日（正月十六），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我局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承办企业家新春联谊会，带领规上企业调研企业，并观看演出，拉进政商关系，让企业家感受到县委县政府的关心与支持。2月26日，省工信厅带队、苏南八市工信局联合，来我县调研南北结对相关事宜，我县承办并作汇报，得到了各工信部门的深度认可，并结下了共同合作的友谊，为日后我县对外开展工作奠定了基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5月8日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局在金湖县三禾大酒店承办了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2024高校科创成果（淮安）发布会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本次发布会邀请了天津大学、山东大学、南京工程学院等高校专家教授来金发布交流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共发布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科创成果28项、企业技术需求16项，4位专家教授进行现场推介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。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6月9日，我局举办2024江苏金湖投资环境说明会暨先进节能环保能源装备产业集群推介会，来自全国各地近200名客商和企业家参加了会议，会上成功签约了44个项目，计划总投资255.8亿元。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highlight w:val="none"/>
        </w:rPr>
        <w:t>、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下半年</w:t>
      </w:r>
      <w:r>
        <w:rPr>
          <w:rFonts w:hint="eastAsia" w:ascii="黑体" w:hAnsi="黑体" w:eastAsia="黑体" w:cs="黑体"/>
          <w:color w:val="auto"/>
          <w:highlight w:val="none"/>
        </w:rPr>
        <w:t>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下半年，县工信局将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进一步聚焦千亿产值超千亿，聚力绿色低碳高质量，大力推进新型工业化发展进程，不断提升新质生产力发展水平，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立足新发展格局，全面扩大工业规模实力，加速提升质量效益，着力增强自主创新能力，同步推进绿色集约发展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，为全县工业经济贡献工信力量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u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  <w:t>一</w:t>
      </w:r>
      <w:r>
        <w:rPr>
          <w:rFonts w:hint="default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  <w:t>）推动工业扩量提质。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强化工业指标运行监测，实时关注全县工业经济指标发展态势，加强运行监测与分析预报，确保工业各项指标稳步推进。强化项目攻坚，在北京、杭州等地开展招商推介，招引大批产业项目，增强后备动能。强化项目评审，提高落户门槛，确保优质项目、产业项目早落地、早开工、早投</w:t>
      </w:r>
      <w:r>
        <w:rPr>
          <w:rFonts w:hint="eastAsia" w:ascii="Times New Roman" w:hAnsi="Times New Roman" w:eastAsia="方正仿宋_GBK" w:cs="Times New Roman"/>
          <w:color w:val="auto"/>
          <w:highlight w:val="none"/>
          <w:u w:val="none"/>
          <w:lang w:val="en-US" w:eastAsia="zh-CN"/>
        </w:rPr>
        <w:t>产，</w:t>
      </w:r>
      <w:r>
        <w:rPr>
          <w:rFonts w:hint="eastAsia" w:eastAsia="方正仿宋_GBK" w:cs="Times New Roman"/>
          <w:color w:val="auto"/>
          <w:highlight w:val="none"/>
          <w:u w:val="none"/>
          <w:lang w:val="en-US" w:eastAsia="zh-CN"/>
        </w:rPr>
        <w:t>力争到今年年底，全县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规上工业产值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完成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540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亿元、同比增长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%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规上工业开票销售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完成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451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亿元、同比增长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%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规上工业企业入库税收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完成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亿元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规上工业用电量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完成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11.2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亿千瓦时、同比增长1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%。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新增规上企业50户以上</w:t>
      </w:r>
      <w:r>
        <w:rPr>
          <w:rFonts w:hint="eastAsia" w:ascii="Times New Roman" w:hAnsi="Times New Roman" w:eastAsia="方正仿宋_GBK" w:cs="Times New Roman"/>
          <w:color w:val="auto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  <w:t>二</w:t>
      </w:r>
      <w:r>
        <w:rPr>
          <w:rFonts w:hint="default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  <w:t>强化企业精准培育。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大力开展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龙头企业、行业标杆、专精特新等企业培育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，加快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个转企、小升规、规模进亿元、亿元上台阶梯度培育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，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计划年内新增规上工业企业50家，亿元企业、10亿元企业、分别新增5家、1家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eastAsia="方正仿宋_GBK" w:cs="Times New Roman"/>
          <w:color w:val="auto"/>
          <w:highlight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  <w:t>三</w:t>
      </w:r>
      <w:r>
        <w:rPr>
          <w:rFonts w:hint="default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  <w:t>提升</w:t>
      </w:r>
      <w:r>
        <w:rPr>
          <w:rFonts w:hint="default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  <w:t>智改数转</w:t>
      </w:r>
      <w:r>
        <w:rPr>
          <w:rFonts w:hint="eastAsia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  <w:t>网联</w:t>
      </w:r>
      <w:r>
        <w:rPr>
          <w:rFonts w:hint="default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持续推进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智能化改造数字化转型网络化联接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三年行动，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全面推动全县工业领域数字产业化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产业数字化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水平，不断提升智能制造能力，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实现从“金湖制造”向“金湖</w:t>
      </w:r>
      <w:r>
        <w:rPr>
          <w:rFonts w:hint="default" w:eastAsia="方正仿宋_GBK" w:cs="Times New Roman"/>
          <w:color w:val="auto"/>
          <w:highlight w:val="none"/>
          <w:lang w:val="en-US" w:eastAsia="zh-CN"/>
        </w:rPr>
        <w:t>智造”升级。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确保年内创成“智改数转网联“示范企业6个以上。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  <w:t>（四）持续培育专精特新。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持续完善优质中小企业梯度培育体系，强化精准服务，实施动态管理，进一步激发中小企业创新活力和发展动力，激励中小企业在细分领域和细分市场带动领跑，不断培育各级专精特新企业。确保今年培育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省级及以上专精特新企业20家以上，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力争在单项冠军上实现“零突破”。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  <w:t>五</w:t>
      </w:r>
      <w:r>
        <w:rPr>
          <w:rFonts w:hint="default" w:ascii="方正楷体_GBK" w:hAnsi="方正楷体_GBK" w:eastAsia="方正楷体_GBK" w:cs="方正楷体_GBK"/>
          <w:b/>
          <w:bCs/>
          <w:color w:val="auto"/>
          <w:highlight w:val="none"/>
          <w:lang w:val="en-US" w:eastAsia="zh-CN"/>
        </w:rPr>
        <w:t>）优化产业发展环境。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持续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做好企业调研走访工作，收集企业急愁难盼，帮助企业纾困解难。积极兑现奖补资金，着力为企业向上争取“真金白银”，提振企业发展信心，提高企业发展活力。主动搭建“校企合作”“银企对接”等平台，帮助企业解决技术、人才、资金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三、对县委县政府工作的意见和建议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ascii="仿宋_GB2312" w:hAnsi="仿宋_GB2312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仿宋_GB2312" w:hAnsi="仿宋_GB2312"/>
          <w:color w:val="auto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attachedTemplate r:id="rId1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jQ2Y2NlN2I1YmM1MDI1ZGQ0MjI5NGYzM2U2NTgifQ=="/>
  </w:docVars>
  <w:rsids>
    <w:rsidRoot w:val="772665DA"/>
    <w:rsid w:val="00197CF4"/>
    <w:rsid w:val="0032677B"/>
    <w:rsid w:val="007E528F"/>
    <w:rsid w:val="00DF174F"/>
    <w:rsid w:val="00E30EF2"/>
    <w:rsid w:val="02A56B24"/>
    <w:rsid w:val="03BD1133"/>
    <w:rsid w:val="03E43571"/>
    <w:rsid w:val="04B86C59"/>
    <w:rsid w:val="0757641B"/>
    <w:rsid w:val="0C8877D6"/>
    <w:rsid w:val="0DB37335"/>
    <w:rsid w:val="138B05AF"/>
    <w:rsid w:val="13F413C8"/>
    <w:rsid w:val="16FD7270"/>
    <w:rsid w:val="18620683"/>
    <w:rsid w:val="19CC0DC1"/>
    <w:rsid w:val="1A8B0833"/>
    <w:rsid w:val="1BB5368A"/>
    <w:rsid w:val="1ED2304F"/>
    <w:rsid w:val="1F577D02"/>
    <w:rsid w:val="2206432A"/>
    <w:rsid w:val="2767173F"/>
    <w:rsid w:val="298B7349"/>
    <w:rsid w:val="2BBD43D2"/>
    <w:rsid w:val="2CC34ED1"/>
    <w:rsid w:val="2CDC2E0F"/>
    <w:rsid w:val="2FCE0CC6"/>
    <w:rsid w:val="32C86D6C"/>
    <w:rsid w:val="331820C4"/>
    <w:rsid w:val="33411B25"/>
    <w:rsid w:val="334861C2"/>
    <w:rsid w:val="3370028B"/>
    <w:rsid w:val="34901D35"/>
    <w:rsid w:val="349F381A"/>
    <w:rsid w:val="36375B9C"/>
    <w:rsid w:val="37553354"/>
    <w:rsid w:val="38582FFF"/>
    <w:rsid w:val="39387638"/>
    <w:rsid w:val="3949030C"/>
    <w:rsid w:val="3B066608"/>
    <w:rsid w:val="3B0B1CA6"/>
    <w:rsid w:val="3CA54D8C"/>
    <w:rsid w:val="3F384603"/>
    <w:rsid w:val="41B608C8"/>
    <w:rsid w:val="41D458B3"/>
    <w:rsid w:val="41DD0CA9"/>
    <w:rsid w:val="43677478"/>
    <w:rsid w:val="44E36014"/>
    <w:rsid w:val="45273E74"/>
    <w:rsid w:val="453F38A4"/>
    <w:rsid w:val="45EA0DC5"/>
    <w:rsid w:val="48CD231F"/>
    <w:rsid w:val="48EA4316"/>
    <w:rsid w:val="491B5386"/>
    <w:rsid w:val="4A1F2891"/>
    <w:rsid w:val="4A7E6C1C"/>
    <w:rsid w:val="4B5F55B3"/>
    <w:rsid w:val="4DE82D2A"/>
    <w:rsid w:val="4E491410"/>
    <w:rsid w:val="4E914171"/>
    <w:rsid w:val="4ED4754E"/>
    <w:rsid w:val="510124D5"/>
    <w:rsid w:val="51BD0E26"/>
    <w:rsid w:val="52CC1B65"/>
    <w:rsid w:val="53AE0FB0"/>
    <w:rsid w:val="55D358AD"/>
    <w:rsid w:val="5638223C"/>
    <w:rsid w:val="579D2DD8"/>
    <w:rsid w:val="59B04B77"/>
    <w:rsid w:val="5A4C630B"/>
    <w:rsid w:val="5BEC60DC"/>
    <w:rsid w:val="5D02513D"/>
    <w:rsid w:val="5E0C116B"/>
    <w:rsid w:val="5E4320E5"/>
    <w:rsid w:val="5E685D92"/>
    <w:rsid w:val="609F2DC9"/>
    <w:rsid w:val="61165BEF"/>
    <w:rsid w:val="65F07262"/>
    <w:rsid w:val="661D0FEA"/>
    <w:rsid w:val="69C25C0B"/>
    <w:rsid w:val="69C57A3B"/>
    <w:rsid w:val="6A984F72"/>
    <w:rsid w:val="6C8B4FEF"/>
    <w:rsid w:val="6C9E27C1"/>
    <w:rsid w:val="6E0A425C"/>
    <w:rsid w:val="6EAD1C6D"/>
    <w:rsid w:val="6F01401C"/>
    <w:rsid w:val="6FBC1F28"/>
    <w:rsid w:val="70BE5F14"/>
    <w:rsid w:val="71280DB3"/>
    <w:rsid w:val="7182608C"/>
    <w:rsid w:val="72446F5E"/>
    <w:rsid w:val="72DB48BE"/>
    <w:rsid w:val="75321212"/>
    <w:rsid w:val="76197675"/>
    <w:rsid w:val="772665DA"/>
    <w:rsid w:val="772938E8"/>
    <w:rsid w:val="77A22AD1"/>
    <w:rsid w:val="77C96BAD"/>
    <w:rsid w:val="77E42641"/>
    <w:rsid w:val="77E75C23"/>
    <w:rsid w:val="78B1640E"/>
    <w:rsid w:val="792B008D"/>
    <w:rsid w:val="79D70FEF"/>
    <w:rsid w:val="7AA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ind w:left="851" w:hanging="851"/>
      <w:outlineLvl w:val="4"/>
    </w:pPr>
    <w:rPr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rPr>
      <w:sz w:val="29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Body Text Indent"/>
    <w:basedOn w:val="1"/>
    <w:next w:val="1"/>
    <w:qFormat/>
    <w:uiPriority w:val="0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10"/>
    <w:pPr>
      <w:spacing w:line="240" w:lineRule="atLeast"/>
      <w:jc w:val="center"/>
    </w:pPr>
    <w:rPr>
      <w:rFonts w:hint="eastAsia" w:ascii="Arial" w:hAnsi="Arial" w:eastAsia="黑体"/>
      <w:sz w:val="52"/>
    </w:rPr>
  </w:style>
  <w:style w:type="paragraph" w:styleId="10">
    <w:name w:val="Body Text First Indent 2"/>
    <w:basedOn w:val="5"/>
    <w:qFormat/>
    <w:uiPriority w:val="0"/>
    <w:pPr>
      <w:tabs>
        <w:tab w:val="left" w:pos="2745"/>
      </w:tabs>
      <w:spacing w:after="0"/>
      <w:ind w:left="1" w:leftChars="0" w:firstLine="420" w:firstLineChars="200"/>
    </w:pPr>
    <w:rPr>
      <w:rFonts w:ascii="仿宋_GB2312" w:hAnsi="宋体" w:cs="仿宋_GB2312"/>
    </w:rPr>
  </w:style>
  <w:style w:type="paragraph" w:customStyle="1" w:styleId="13">
    <w:name w:val="样式1"/>
    <w:basedOn w:val="1"/>
    <w:qFormat/>
    <w:uiPriority w:val="0"/>
    <w:pPr>
      <w:spacing w:line="560" w:lineRule="exact"/>
      <w:ind w:firstLine="632" w:firstLineChars="200"/>
    </w:pPr>
    <w:rPr>
      <w:rFonts w:ascii="仿宋_GB2312" w:hAnsi="仿宋_GB2312"/>
    </w:rPr>
  </w:style>
  <w:style w:type="character" w:customStyle="1" w:styleId="14">
    <w:name w:val="三级 Char"/>
    <w:link w:val="15"/>
    <w:qFormat/>
    <w:uiPriority w:val="0"/>
    <w:rPr>
      <w:rFonts w:ascii="Times New Roman" w:hAnsi="Times New Roman" w:eastAsia="仿宋_GB2312" w:cs="Times New Roman"/>
      <w:sz w:val="32"/>
      <w:szCs w:val="32"/>
      <w:shd w:val="clear" w:color="auto" w:fill="FFFFFF"/>
    </w:rPr>
  </w:style>
  <w:style w:type="paragraph" w:customStyle="1" w:styleId="15">
    <w:name w:val="三级"/>
    <w:basedOn w:val="1"/>
    <w:link w:val="14"/>
    <w:qFormat/>
    <w:uiPriority w:val="0"/>
    <w:pPr>
      <w:adjustRightInd w:val="0"/>
      <w:spacing w:line="560" w:lineRule="exact"/>
      <w:ind w:firstLine="643" w:firstLineChars="200"/>
      <w:outlineLvl w:val="2"/>
    </w:pPr>
    <w:rPr>
      <w:rFonts w:ascii="Times New Roman" w:hAnsi="Times New Roman" w:eastAsia="仿宋_GB2312" w:cs="Times New Roman"/>
      <w:sz w:val="32"/>
      <w:szCs w:val="32"/>
      <w:shd w:val="clear" w:color="auto" w:fill="FFFFFF"/>
    </w:rPr>
  </w:style>
  <w:style w:type="character" w:customStyle="1" w:styleId="16">
    <w:name w:val="fontstyle21"/>
    <w:basedOn w:val="12"/>
    <w:qFormat/>
    <w:uiPriority w:val="0"/>
    <w:rPr>
      <w:rFonts w:ascii="FZFSK--GBK1-0" w:hAnsi="FZFSK--GBK1-0" w:eastAsia="FZFSK--GBK1-0" w:cs="FZFSK--GBK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&#26684;&#24335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公文格式模板</Template>
  <Pages>6</Pages>
  <Words>2291</Words>
  <Characters>2365</Characters>
  <Lines>36</Lines>
  <Paragraphs>10</Paragraphs>
  <TotalTime>0</TotalTime>
  <ScaleCrop>false</ScaleCrop>
  <LinksUpToDate>false</LinksUpToDate>
  <CharactersWithSpaces>2375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2021-11-04T08:30:00Z</dcterms:created>
  <dc:creator>葛路路</dc:creator>
  <cp:lastModifiedBy>宋正琦</cp:lastModifiedBy>
  <cp:lastPrinted>2021-11-16T01:37:00Z</cp:lastPrinted>
  <dcterms:modified xsi:type="dcterms:W3CDTF">2024-06-07T01:42:02Z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1FEF97197B5344DD8AD8DE6D57561921</vt:lpwstr>
  </property>
</Properties>
</file>