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B3434">
      <w:pPr>
        <w:spacing w:line="400" w:lineRule="exact"/>
        <w:ind w:firstLine="2667" w:firstLineChars="740"/>
        <w:rPr>
          <w:rFonts w:ascii="宋体" w:hAnsi="宋体" w:eastAsia="华文中宋" w:cs="Times New Roman"/>
          <w:b/>
          <w:kern w:val="0"/>
          <w:sz w:val="36"/>
          <w:szCs w:val="36"/>
          <w:shd w:val="clear" w:color="auto" w:fill="FFFFFF"/>
        </w:rPr>
      </w:pPr>
      <w:bookmarkStart w:id="0" w:name="处罚决定书"/>
      <w:bookmarkStart w:id="1" w:name="_Toc29744267"/>
      <w:bookmarkStart w:id="2" w:name="_Toc48815577"/>
      <w:r>
        <w:rPr>
          <w:rFonts w:hint="eastAsia" w:ascii="宋体" w:hAnsi="宋体" w:eastAsia="华文中宋" w:cs="Times New Roman"/>
          <w:b/>
          <w:kern w:val="0"/>
          <w:sz w:val="36"/>
          <w:szCs w:val="36"/>
          <w:shd w:val="clear" w:color="auto" w:fill="FFFFFF"/>
        </w:rPr>
        <w:t>金湖县农业农村局</w:t>
      </w:r>
    </w:p>
    <w:p w14:paraId="470C82A8">
      <w:pPr>
        <w:pStyle w:val="2"/>
        <w:rPr>
          <w:sz w:val="36"/>
          <w:szCs w:val="36"/>
        </w:rPr>
      </w:pPr>
      <w:r>
        <w:rPr>
          <w:rFonts w:hint="eastAsia"/>
          <w:sz w:val="36"/>
          <w:szCs w:val="36"/>
        </w:rPr>
        <w:t>行政处罚决定书</w:t>
      </w:r>
      <w:bookmarkEnd w:id="0"/>
      <w:bookmarkEnd w:id="1"/>
      <w:bookmarkEnd w:id="2"/>
    </w:p>
    <w:p w14:paraId="2929F451">
      <w:pPr>
        <w:widowControl/>
        <w:spacing w:line="520" w:lineRule="exact"/>
        <w:jc w:val="center"/>
        <w:textAlignment w:val="baseline"/>
        <w:rPr>
          <w:rFonts w:asciiTheme="minorEastAsia" w:hAnsiTheme="minorEastAsia"/>
          <w:sz w:val="28"/>
          <w:szCs w:val="28"/>
        </w:rPr>
      </w:pPr>
      <w:r>
        <w:rPr>
          <w:rFonts w:hint="eastAsia" w:asciiTheme="minorEastAsia" w:hAnsiTheme="minorEastAsia"/>
          <w:sz w:val="28"/>
          <w:szCs w:val="28"/>
        </w:rPr>
        <w:t>金农（兽药）罚〔2024〕2号</w:t>
      </w:r>
    </w:p>
    <w:p w14:paraId="24336944">
      <w:pPr>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当事人：</w:t>
      </w:r>
      <w:r>
        <w:rPr>
          <w:rFonts w:hint="eastAsia" w:asciiTheme="majorEastAsia" w:hAnsiTheme="majorEastAsia" w:eastAsiaTheme="majorEastAsia"/>
          <w:sz w:val="28"/>
          <w:szCs w:val="28"/>
          <w:lang w:eastAsia="zh-CN"/>
        </w:rPr>
        <w:t>某</w:t>
      </w:r>
      <w:r>
        <w:rPr>
          <w:rFonts w:hint="eastAsia" w:asciiTheme="majorEastAsia" w:hAnsiTheme="majorEastAsia" w:eastAsiaTheme="majorEastAsia"/>
          <w:sz w:val="28"/>
          <w:szCs w:val="28"/>
        </w:rPr>
        <w:t xml:space="preserve">渔药营销部 </w:t>
      </w:r>
    </w:p>
    <w:p w14:paraId="24BC172F">
      <w:pPr>
        <w:spacing w:line="440" w:lineRule="exact"/>
        <w:jc w:val="left"/>
        <w:rPr>
          <w:rFonts w:asciiTheme="majorEastAsia" w:hAnsiTheme="majorEastAsia" w:eastAsiaTheme="majorEastAsia"/>
          <w:sz w:val="28"/>
          <w:szCs w:val="28"/>
        </w:rPr>
      </w:pPr>
      <w:r>
        <w:rPr>
          <w:rFonts w:asciiTheme="majorEastAsia" w:hAnsiTheme="majorEastAsia" w:eastAsiaTheme="majorEastAsia"/>
          <w:sz w:val="28"/>
          <w:szCs w:val="28"/>
        </w:rPr>
        <w:t>主体资格证照名称：</w:t>
      </w:r>
      <w:r>
        <w:rPr>
          <w:rFonts w:hint="eastAsia" w:asciiTheme="majorEastAsia" w:hAnsiTheme="majorEastAsia" w:eastAsiaTheme="majorEastAsia"/>
          <w:sz w:val="28"/>
          <w:szCs w:val="28"/>
          <w:lang w:eastAsia="zh-CN"/>
        </w:rPr>
        <w:t>某</w:t>
      </w:r>
      <w:r>
        <w:rPr>
          <w:rFonts w:hint="eastAsia" w:asciiTheme="majorEastAsia" w:hAnsiTheme="majorEastAsia" w:eastAsiaTheme="majorEastAsia"/>
          <w:sz w:val="28"/>
          <w:szCs w:val="28"/>
        </w:rPr>
        <w:t>渔药营销部</w:t>
      </w:r>
      <w:r>
        <w:rPr>
          <w:rFonts w:asciiTheme="majorEastAsia" w:hAnsiTheme="majorEastAsia" w:eastAsiaTheme="majorEastAsia"/>
          <w:sz w:val="28"/>
          <w:szCs w:val="28"/>
        </w:rPr>
        <w:t xml:space="preserve">                           </w:t>
      </w:r>
    </w:p>
    <w:p w14:paraId="7A2B4471">
      <w:pPr>
        <w:spacing w:line="440" w:lineRule="exact"/>
        <w:jc w:val="left"/>
        <w:rPr>
          <w:rFonts w:hint="default" w:asciiTheme="majorEastAsia" w:hAnsiTheme="majorEastAsia" w:eastAsiaTheme="majorEastAsia"/>
          <w:sz w:val="28"/>
          <w:szCs w:val="28"/>
          <w:lang w:val="en-US" w:eastAsia="zh-CN"/>
        </w:rPr>
      </w:pPr>
      <w:r>
        <w:rPr>
          <w:rFonts w:asciiTheme="majorEastAsia" w:hAnsiTheme="majorEastAsia" w:eastAsiaTheme="majorEastAsia"/>
          <w:sz w:val="28"/>
          <w:szCs w:val="28"/>
        </w:rPr>
        <w:t>统一社会信用代码（注册码）：</w:t>
      </w:r>
      <w:r>
        <w:rPr>
          <w:rFonts w:hint="eastAsia" w:asciiTheme="majorEastAsia" w:hAnsiTheme="majorEastAsia" w:eastAsiaTheme="majorEastAsia"/>
          <w:sz w:val="28"/>
          <w:szCs w:val="28"/>
        </w:rPr>
        <w:t>320831600</w:t>
      </w:r>
      <w:r>
        <w:rPr>
          <w:rFonts w:hint="eastAsia" w:asciiTheme="majorEastAsia" w:hAnsiTheme="majorEastAsia" w:eastAsiaTheme="majorEastAsia"/>
          <w:sz w:val="28"/>
          <w:szCs w:val="28"/>
          <w:lang w:val="en-US" w:eastAsia="zh-CN"/>
        </w:rPr>
        <w:t>******</w:t>
      </w:r>
    </w:p>
    <w:p w14:paraId="1FA8BFBE">
      <w:pPr>
        <w:spacing w:line="520" w:lineRule="exact"/>
        <w:rPr>
          <w:rFonts w:hint="eastAsia" w:asciiTheme="majorEastAsia" w:hAnsiTheme="majorEastAsia" w:eastAsiaTheme="majorEastAsia"/>
          <w:sz w:val="28"/>
          <w:szCs w:val="28"/>
        </w:rPr>
      </w:pPr>
      <w:r>
        <w:rPr>
          <w:rFonts w:asciiTheme="majorEastAsia" w:hAnsiTheme="majorEastAsia" w:eastAsiaTheme="majorEastAsia"/>
          <w:sz w:val="28"/>
          <w:szCs w:val="28"/>
        </w:rPr>
        <w:t>住所（住址）：</w:t>
      </w:r>
      <w:r>
        <w:rPr>
          <w:rFonts w:hint="eastAsia" w:asciiTheme="majorEastAsia" w:hAnsiTheme="majorEastAsia" w:eastAsiaTheme="majorEastAsia"/>
          <w:sz w:val="28"/>
          <w:szCs w:val="28"/>
        </w:rPr>
        <w:t>金湖县吕良镇泰山路</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号</w:t>
      </w:r>
    </w:p>
    <w:p w14:paraId="41158FCD">
      <w:pPr>
        <w:spacing w:line="520" w:lineRule="exact"/>
        <w:rPr>
          <w:rFonts w:asciiTheme="majorEastAsia" w:hAnsiTheme="majorEastAsia" w:eastAsiaTheme="majorEastAsia"/>
          <w:sz w:val="28"/>
          <w:szCs w:val="28"/>
        </w:rPr>
      </w:pPr>
      <w:r>
        <w:rPr>
          <w:rFonts w:asciiTheme="majorEastAsia" w:hAnsiTheme="majorEastAsia" w:eastAsiaTheme="majorEastAsia"/>
          <w:sz w:val="28"/>
          <w:szCs w:val="28"/>
        </w:rPr>
        <w:t>经营者</w:t>
      </w:r>
      <w:r>
        <w:rPr>
          <w:rFonts w:hint="eastAsia" w:asciiTheme="majorEastAsia" w:hAnsiTheme="majorEastAsia" w:eastAsiaTheme="majorEastAsia"/>
          <w:sz w:val="28"/>
          <w:szCs w:val="28"/>
        </w:rPr>
        <w:t>(负责人)</w:t>
      </w:r>
      <w:r>
        <w:rPr>
          <w:rFonts w:asciiTheme="majorEastAsia" w:hAnsiTheme="majorEastAsia" w:eastAsiaTheme="majorEastAsia"/>
          <w:sz w:val="28"/>
          <w:szCs w:val="28"/>
        </w:rPr>
        <w:t>：沈</w:t>
      </w:r>
      <w:r>
        <w:rPr>
          <w:rFonts w:hint="eastAsia" w:asciiTheme="majorEastAsia" w:hAnsiTheme="majorEastAsia" w:eastAsiaTheme="majorEastAsia"/>
          <w:sz w:val="28"/>
          <w:szCs w:val="28"/>
          <w:lang w:eastAsia="zh-CN"/>
        </w:rPr>
        <w:t>某某</w:t>
      </w:r>
      <w:bookmarkStart w:id="3" w:name="_GoBack"/>
      <w:bookmarkEnd w:id="3"/>
      <w:r>
        <w:rPr>
          <w:rFonts w:asciiTheme="majorEastAsia" w:hAnsiTheme="majorEastAsia" w:eastAsiaTheme="majorEastAsia"/>
          <w:sz w:val="28"/>
          <w:szCs w:val="28"/>
        </w:rPr>
        <w:t xml:space="preserve">                                     </w:t>
      </w:r>
    </w:p>
    <w:p w14:paraId="4B08A2DC">
      <w:pPr>
        <w:adjustRightInd w:val="0"/>
        <w:snapToGrid w:val="0"/>
        <w:spacing w:line="440" w:lineRule="exact"/>
        <w:jc w:val="left"/>
        <w:rPr>
          <w:rFonts w:asciiTheme="majorEastAsia" w:hAnsiTheme="majorEastAsia" w:eastAsiaTheme="majorEastAsia"/>
          <w:sz w:val="28"/>
          <w:szCs w:val="28"/>
        </w:rPr>
      </w:pPr>
      <w:r>
        <w:rPr>
          <w:rFonts w:asciiTheme="majorEastAsia" w:hAnsiTheme="majorEastAsia" w:eastAsiaTheme="majorEastAsia"/>
          <w:sz w:val="28"/>
          <w:szCs w:val="28"/>
        </w:rPr>
        <w:t xml:space="preserve">身份证件号码： </w:t>
      </w:r>
      <w:r>
        <w:rPr>
          <w:rFonts w:hint="eastAsia" w:asciiTheme="majorEastAsia" w:hAnsiTheme="majorEastAsia" w:eastAsiaTheme="majorEastAsia"/>
          <w:sz w:val="28"/>
          <w:szCs w:val="28"/>
        </w:rPr>
        <w:t>320831197306</w:t>
      </w:r>
      <w:r>
        <w:rPr>
          <w:rFonts w:hint="eastAsia" w:asciiTheme="majorEastAsia" w:hAnsiTheme="majorEastAsia" w:eastAsiaTheme="majorEastAsia"/>
          <w:sz w:val="28"/>
          <w:szCs w:val="28"/>
          <w:lang w:val="en-US" w:eastAsia="zh-CN"/>
        </w:rPr>
        <w:t>******</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 xml:space="preserve">   </w:t>
      </w:r>
      <w:r>
        <w:rPr>
          <w:rFonts w:ascii="Times New Roman" w:hAnsi="Times New Roman" w:eastAsia="仿宋_GB2312" w:cs="Times New Roman"/>
          <w:sz w:val="30"/>
          <w:szCs w:val="30"/>
          <w:u w:val="single"/>
        </w:rPr>
        <w:t xml:space="preserve">       </w:t>
      </w:r>
    </w:p>
    <w:p w14:paraId="09F54A2A">
      <w:pPr>
        <w:spacing w:line="520" w:lineRule="exact"/>
        <w:ind w:firstLine="573"/>
        <w:jc w:val="left"/>
        <w:rPr>
          <w:rFonts w:asciiTheme="majorEastAsia" w:hAnsiTheme="majorEastAsia" w:eastAsiaTheme="majorEastAsia"/>
          <w:sz w:val="28"/>
          <w:szCs w:val="28"/>
        </w:rPr>
      </w:pPr>
      <w:r>
        <w:rPr>
          <w:rFonts w:hint="eastAsia" w:asciiTheme="majorEastAsia" w:hAnsiTheme="majorEastAsia" w:eastAsiaTheme="majorEastAsia"/>
          <w:sz w:val="28"/>
          <w:szCs w:val="28"/>
        </w:rPr>
        <w:t>2024年12月16日本机关收到淮安市农业综合行政执法支队寄来的检验报告，要求对不合格兽药进行查处。</w:t>
      </w:r>
    </w:p>
    <w:p w14:paraId="13132212">
      <w:pPr>
        <w:spacing w:line="520" w:lineRule="exact"/>
        <w:ind w:firstLine="573"/>
        <w:jc w:val="left"/>
        <w:rPr>
          <w:rFonts w:asciiTheme="majorEastAsia" w:hAnsiTheme="majorEastAsia" w:eastAsiaTheme="majorEastAsia"/>
          <w:sz w:val="28"/>
          <w:szCs w:val="28"/>
        </w:rPr>
      </w:pPr>
      <w:r>
        <w:rPr>
          <w:rFonts w:hint="eastAsia" w:asciiTheme="majorEastAsia" w:hAnsiTheme="majorEastAsia" w:eastAsiaTheme="majorEastAsia"/>
          <w:sz w:val="28"/>
          <w:szCs w:val="28"/>
        </w:rPr>
        <w:t>2024年9月4日,本机关执法人员按照淮安市农业农村局关于做好《2024年农药兽药和饲料产品执法抽检工作的通知》要求对金湖县</w:t>
      </w:r>
      <w:r>
        <w:rPr>
          <w:rFonts w:hint="eastAsia" w:asciiTheme="majorEastAsia" w:hAnsiTheme="majorEastAsia" w:eastAsiaTheme="majorEastAsia"/>
          <w:sz w:val="28"/>
          <w:szCs w:val="28"/>
          <w:lang w:eastAsia="zh-CN"/>
        </w:rPr>
        <w:t>某</w:t>
      </w:r>
      <w:r>
        <w:rPr>
          <w:rFonts w:hint="eastAsia" w:asciiTheme="majorEastAsia" w:hAnsiTheme="majorEastAsia" w:eastAsiaTheme="majorEastAsia"/>
          <w:sz w:val="28"/>
          <w:szCs w:val="28"/>
        </w:rPr>
        <w:t>渔药营销部开展兽药执法抽检。所抽检的兽药名称为戊二醛苯扎溴铵溶液，商标为“惠洋”，标称“生产企业为运城市惠洋药业有限公司、生产地址山西临猗县楚侯经济开发区58号、生产日期为20240519、生产许可证号为兽药生产证字04080号”。经江苏省兽药饲料质量检验所检测，该批次兽药检验项目PH值应为3.0-3.5，检验结果为1.4，单项判定不符合规定，结论为：本品按照《兽药质量标准》（2017年版）检验上述项目，结果不符合规定，报告编号为2024SY-CJ417。</w:t>
      </w:r>
    </w:p>
    <w:p w14:paraId="16A1C11B">
      <w:pPr>
        <w:spacing w:line="520" w:lineRule="exact"/>
        <w:ind w:firstLine="573"/>
        <w:jc w:val="left"/>
        <w:rPr>
          <w:rFonts w:asciiTheme="majorEastAsia" w:hAnsiTheme="majorEastAsia" w:eastAsiaTheme="majorEastAsia"/>
          <w:sz w:val="28"/>
          <w:szCs w:val="28"/>
        </w:rPr>
      </w:pPr>
      <w:r>
        <w:rPr>
          <w:rFonts w:hint="eastAsia" w:asciiTheme="majorEastAsia" w:hAnsiTheme="majorEastAsia" w:eastAsiaTheme="majorEastAsia"/>
          <w:sz w:val="28"/>
          <w:szCs w:val="28"/>
        </w:rPr>
        <w:t>2024年12月16日，本机关向当事人送达了《检测结果告知书》，告知当事人有申请复检的权利。并与经营者沈</w:t>
      </w:r>
      <w:r>
        <w:rPr>
          <w:rFonts w:hint="eastAsia" w:asciiTheme="majorEastAsia" w:hAnsiTheme="majorEastAsia" w:eastAsiaTheme="majorEastAsia"/>
          <w:sz w:val="28"/>
          <w:szCs w:val="28"/>
          <w:lang w:eastAsia="zh-CN"/>
        </w:rPr>
        <w:t>某某</w:t>
      </w:r>
      <w:r>
        <w:rPr>
          <w:rFonts w:hint="eastAsia" w:asciiTheme="majorEastAsia" w:hAnsiTheme="majorEastAsia" w:eastAsiaTheme="majorEastAsia"/>
          <w:sz w:val="28"/>
          <w:szCs w:val="28"/>
        </w:rPr>
        <w:t>一起对涉案产品进行了现场检查笔录，同时进行了初步调查，在现场未发现剩余的涉案兽药产品。在《检测结果告知书》规定的时间内，当事人未提出复检申请，经营者也表示对检测结果无异议，不申请复检。</w:t>
      </w:r>
    </w:p>
    <w:p w14:paraId="1CB268DE">
      <w:pPr>
        <w:spacing w:line="520" w:lineRule="exact"/>
        <w:ind w:firstLine="573"/>
        <w:jc w:val="left"/>
        <w:rPr>
          <w:rFonts w:asciiTheme="majorEastAsia" w:hAnsiTheme="majorEastAsia" w:eastAsiaTheme="majorEastAsia"/>
          <w:sz w:val="28"/>
          <w:szCs w:val="28"/>
        </w:rPr>
      </w:pPr>
      <w:r>
        <w:rPr>
          <w:rFonts w:hint="eastAsia" w:asciiTheme="majorEastAsia" w:hAnsiTheme="majorEastAsia" w:eastAsiaTheme="majorEastAsia"/>
          <w:sz w:val="28"/>
          <w:szCs w:val="28"/>
        </w:rPr>
        <w:t>依据《兽药管理条例》第四十八条第四项</w:t>
      </w:r>
      <w:r>
        <w:rPr>
          <w:rFonts w:asciiTheme="majorEastAsia" w:hAnsiTheme="majorEastAsia" w:eastAsiaTheme="majorEastAsia"/>
          <w:sz w:val="28"/>
          <w:szCs w:val="28"/>
        </w:rPr>
        <w:t>“有下列情形之一的，</w:t>
      </w:r>
      <w:r>
        <w:rPr>
          <w:rFonts w:hint="eastAsia" w:asciiTheme="majorEastAsia" w:hAnsiTheme="majorEastAsia" w:eastAsiaTheme="majorEastAsia"/>
          <w:sz w:val="28"/>
          <w:szCs w:val="28"/>
        </w:rPr>
        <w:t>为</w:t>
      </w:r>
      <w:r>
        <w:rPr>
          <w:rFonts w:asciiTheme="majorEastAsia" w:hAnsiTheme="majorEastAsia" w:eastAsiaTheme="majorEastAsia"/>
          <w:sz w:val="28"/>
          <w:szCs w:val="28"/>
        </w:rPr>
        <w:t>劣兽药：（</w:t>
      </w:r>
      <w:r>
        <w:rPr>
          <w:rFonts w:hint="eastAsia" w:asciiTheme="majorEastAsia" w:hAnsiTheme="majorEastAsia" w:eastAsiaTheme="majorEastAsia"/>
          <w:sz w:val="28"/>
          <w:szCs w:val="28"/>
        </w:rPr>
        <w:t>四</w:t>
      </w:r>
      <w:r>
        <w:rPr>
          <w:rFonts w:asciiTheme="majorEastAsia" w:hAnsiTheme="majorEastAsia" w:eastAsiaTheme="majorEastAsia"/>
          <w:sz w:val="28"/>
          <w:szCs w:val="28"/>
        </w:rPr>
        <w:t>）其他不符合兽药国家标准，但不属于假兽药的。”</w:t>
      </w:r>
    </w:p>
    <w:p w14:paraId="306E7BB3">
      <w:pPr>
        <w:spacing w:line="520" w:lineRule="exact"/>
        <w:ind w:firstLine="420" w:firstLineChars="15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当事人的行为违反了《兽药管理条例》第二十七条第三款的规定，涉嫌经营劣兽药。依据《兽药管理条例》第五十六条第一款规定，依法应当给予行政处罚。2024年12月20日，经金湖县农业农村局领导批准立案调查。</w:t>
      </w:r>
    </w:p>
    <w:p w14:paraId="38692BD4">
      <w:pPr>
        <w:spacing w:line="520" w:lineRule="exact"/>
        <w:ind w:firstLine="420" w:firstLineChars="15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2024年12月28日，执法人员对当事人提供的证据材料进行确定，对涉案兽药产品的进货、销售、货值金额等进行了进一步调查、核实。</w:t>
      </w:r>
    </w:p>
    <w:p w14:paraId="56212EC3">
      <w:pPr>
        <w:spacing w:line="520" w:lineRule="exact"/>
        <w:ind w:firstLine="420" w:firstLineChars="150"/>
        <w:rPr>
          <w:rFonts w:asciiTheme="majorEastAsia" w:hAnsiTheme="majorEastAsia" w:eastAsiaTheme="majorEastAsia"/>
          <w:sz w:val="28"/>
          <w:szCs w:val="28"/>
        </w:rPr>
      </w:pPr>
      <w:r>
        <w:rPr>
          <w:rFonts w:asciiTheme="majorEastAsia" w:hAnsiTheme="majorEastAsia" w:eastAsiaTheme="majorEastAsia"/>
          <w:sz w:val="28"/>
          <w:szCs w:val="28"/>
        </w:rPr>
        <w:t xml:space="preserve">经查 </w:t>
      </w:r>
      <w:r>
        <w:rPr>
          <w:rFonts w:hint="eastAsia" w:asciiTheme="majorEastAsia" w:hAnsiTheme="majorEastAsia" w:eastAsiaTheme="majorEastAsia"/>
          <w:sz w:val="28"/>
          <w:szCs w:val="28"/>
        </w:rPr>
        <w:t>，当事人于2024年8月10日，从山西运城市惠洋药业有限公司购进戊二醛苯扎溴铵溶液（水产用）3箱，包装数量500g/瓶、20瓶/箱，共计60瓶，生产日期为20240519，进货价格是240元/箱。2024年9月4日本机关抽检上述兽药4瓶，购买价格是15元/瓶，共计60元。2024年12月16日,本机关执法人员在向当事人送达上述兽药产品检验结果告知书后立即对涉案的产品的库存进行了检查，发现上述批次兽药剩余产品56瓶已经分3次在本机关送达检验结果告知书之前销售完毕，销售收入一共为840元（56瓶×15元/瓶），因此，本机关认定当事人涉嫌经营劣兽药的货值金额为900元。2024年12月16日本机关也向山西省运城市惠洋药业有限公司发了产品确认通知书，生产企业在规定时间未向本机关进行书面说明，本机关将涉案产品视为上述企业生产。</w:t>
      </w:r>
    </w:p>
    <w:p w14:paraId="5DFA5AC2">
      <w:pPr>
        <w:adjustRightInd w:val="0"/>
        <w:snapToGrid w:val="0"/>
        <w:spacing w:line="520" w:lineRule="exact"/>
        <w:ind w:firstLine="420" w:firstLineChars="150"/>
        <w:rPr>
          <w:rFonts w:asciiTheme="minorEastAsia" w:hAnsiTheme="minorEastAsia"/>
          <w:sz w:val="28"/>
          <w:szCs w:val="28"/>
        </w:rPr>
      </w:pPr>
      <w:r>
        <w:rPr>
          <w:rFonts w:hint="eastAsia" w:asciiTheme="minorEastAsia" w:hAnsiTheme="minorEastAsia"/>
          <w:sz w:val="28"/>
          <w:szCs w:val="28"/>
        </w:rPr>
        <w:t>以上事实，主要有以下证据证明：</w:t>
      </w:r>
      <w:r>
        <w:rPr>
          <w:rFonts w:asciiTheme="minorEastAsia" w:hAnsiTheme="minorEastAsia"/>
          <w:sz w:val="28"/>
          <w:szCs w:val="28"/>
        </w:rPr>
        <w:t xml:space="preserve">                    </w:t>
      </w:r>
    </w:p>
    <w:p w14:paraId="7ECFEBBE">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证据一:营业执照（复印件）、兽药经营许可证（复印件）、经营者身份证（复印件）各1份，共计3页，证明当事人的经营主体性质和具备兽药经营许可资质以及经营者的身份信息；</w:t>
      </w:r>
    </w:p>
    <w:p w14:paraId="50155B9C">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证据二: 淮安市农业农村局关于本次执法抽检工作通知1份，共计7页，证明本次兽药质量执法抽检的合法性；</w:t>
      </w:r>
    </w:p>
    <w:p w14:paraId="65B058F1">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证据三: 兽药产品执法抽检工作单 1份及汇总表，共计2页，证明本机关对涉案兽药产品抽样的事实情况；</w:t>
      </w:r>
    </w:p>
    <w:p w14:paraId="16A00AFA">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证据四:抽样付款凭证1份，共计2页,证明本机关支付样品费的信息。</w:t>
      </w:r>
    </w:p>
    <w:p w14:paraId="5A497904">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证据五：涉案兽药产品国家兽药产品追溯系统追溯码查询二维码信息（打印件）1份，共计1页，证明所抽样兽药产品的合法性；</w:t>
      </w:r>
    </w:p>
    <w:p w14:paraId="551A6DD7">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证据六：检验报告（正本）编号2024SY-CJ417 1份，共计2页；证明当事人经营的戊二醛苯扎溴铵（水产用）按照《兽药质量标准》（2017年版）检验上述项目，结果不符合规定。</w:t>
      </w:r>
    </w:p>
    <w:p w14:paraId="2A2E28C7">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证据七：检测结果告知书1份，共计3页</w:t>
      </w:r>
      <w:r>
        <w:rPr>
          <w:rFonts w:asciiTheme="minorEastAsia" w:hAnsiTheme="minorEastAsia"/>
          <w:sz w:val="28"/>
          <w:szCs w:val="28"/>
        </w:rPr>
        <w:t>，证明本机关</w:t>
      </w:r>
      <w:r>
        <w:rPr>
          <w:rFonts w:hint="eastAsia" w:asciiTheme="minorEastAsia" w:hAnsiTheme="minorEastAsia"/>
          <w:sz w:val="28"/>
          <w:szCs w:val="28"/>
        </w:rPr>
        <w:t>按照农业执法程序规定在规定时间内告知当事人检验结果及相关权利。</w:t>
      </w:r>
    </w:p>
    <w:p w14:paraId="503EE71B">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证据八：放弃复检权利确认书1份，共计1页，证明当事人认可检验结果，主动放弃复检的权利。</w:t>
      </w:r>
    </w:p>
    <w:p w14:paraId="77F1BF39">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证据九:限期提供材料通知书1份，共计1页，证明本机关按照农业执法程序规定依法要求当事人提供涉及本案的相关证据。</w:t>
      </w:r>
    </w:p>
    <w:p w14:paraId="78564585">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证据十：产品确认通知书1份，共计3页；证明本机关按照农业执法程序规定对所执法抽检的兽药产品的生产企业进行确定；</w:t>
      </w:r>
    </w:p>
    <w:p w14:paraId="7BA3B6F9">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证据十一：2024年9月4日和2024年12月16日现场检查（勘验）笔录2份，共计4页，证明涉案产品执法抽检时的基数以及送达检验报告时涉案产品的库存情况；</w:t>
      </w:r>
    </w:p>
    <w:p w14:paraId="2723957D">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证据十二：运城市惠洋药业有限公司销售单1份，共计1页，证明当事人采购涉案兽药产品的数量、价格等情况；</w:t>
      </w:r>
    </w:p>
    <w:p w14:paraId="106FBE72">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证据十三：销售台账记录复印件1份，共计3页，证明当事人销售涉案兽药产品的数量、价格、去向等情况;</w:t>
      </w:r>
    </w:p>
    <w:p w14:paraId="42B9BBAF">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证据十四：照片证据材料1份，共6页，证明本机关执法人员现场执法情况以及佐证当事人经营涉案产品的事实情况；</w:t>
      </w:r>
    </w:p>
    <w:p w14:paraId="3E6913A0">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证据十五：产品召回情况说明1份，共计2页，证明当事人在知悉所经营的涉案兽药产品为不合格产品后所采取的积极措施。</w:t>
      </w:r>
    </w:p>
    <w:p w14:paraId="3A919AE8">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证据十六：负责人询问笔录2份，共计8页；证明本机关执法人员依法向当事人进行询问的事实，对上述证据的说明、确认和补充。</w:t>
      </w:r>
    </w:p>
    <w:p w14:paraId="092537E8">
      <w:pPr>
        <w:adjustRightInd w:val="0"/>
        <w:snapToGrid w:val="0"/>
        <w:spacing w:line="520" w:lineRule="exact"/>
        <w:rPr>
          <w:rFonts w:asciiTheme="minorEastAsia" w:hAnsiTheme="minorEastAsia"/>
          <w:sz w:val="28"/>
          <w:szCs w:val="28"/>
        </w:rPr>
      </w:pPr>
      <w:r>
        <w:rPr>
          <w:rFonts w:hint="eastAsia" w:asciiTheme="minorEastAsia" w:hAnsiTheme="minorEastAsia"/>
          <w:sz w:val="28"/>
          <w:szCs w:val="28"/>
        </w:rPr>
        <w:t>证据十七：执法人员证件复印件1份，共计2页，证明本案经办执法人员的资格证明。</w:t>
      </w:r>
    </w:p>
    <w:p w14:paraId="744031D4">
      <w:pPr>
        <w:adjustRightInd w:val="0"/>
        <w:snapToGrid w:val="0"/>
        <w:spacing w:line="520" w:lineRule="exact"/>
        <w:rPr>
          <w:rFonts w:asciiTheme="minorEastAsia" w:hAnsiTheme="minorEastAsia"/>
          <w:sz w:val="28"/>
          <w:szCs w:val="28"/>
        </w:rPr>
      </w:pPr>
      <w:r>
        <w:rPr>
          <w:rFonts w:asciiTheme="minorEastAsia" w:hAnsiTheme="minorEastAsia"/>
          <w:sz w:val="28"/>
          <w:szCs w:val="28"/>
        </w:rPr>
        <w:t>本机关认为</w:t>
      </w:r>
      <w:r>
        <w:rPr>
          <w:rFonts w:hint="eastAsia" w:asciiTheme="minorEastAsia" w:hAnsiTheme="minorEastAsia"/>
          <w:sz w:val="28"/>
          <w:szCs w:val="28"/>
        </w:rPr>
        <w:t>：</w:t>
      </w:r>
      <w:r>
        <w:rPr>
          <w:rFonts w:asciiTheme="minorEastAsia" w:hAnsiTheme="minorEastAsia"/>
          <w:sz w:val="28"/>
          <w:szCs w:val="28"/>
        </w:rPr>
        <w:t xml:space="preserve"> </w:t>
      </w:r>
    </w:p>
    <w:p w14:paraId="01EBD8EE">
      <w:pPr>
        <w:widowControl/>
        <w:shd w:val="clear" w:color="auto" w:fill="FFFFFF"/>
        <w:spacing w:line="52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上述证据形式合法、内容真实、能够相互印证，具备客观性、合法性特征，足以证明当事人经营了劣兽药的违法事实。当事人的行为违反了</w:t>
      </w:r>
      <w:r>
        <w:rPr>
          <w:rFonts w:asciiTheme="minorEastAsia" w:hAnsiTheme="minorEastAsia"/>
          <w:sz w:val="28"/>
          <w:szCs w:val="28"/>
        </w:rPr>
        <w:t>《兽药管理条例》第二十七条第三款</w:t>
      </w:r>
      <w:r>
        <w:rPr>
          <w:rFonts w:hint="eastAsia" w:asciiTheme="minorEastAsia" w:hAnsiTheme="minorEastAsia"/>
          <w:sz w:val="28"/>
          <w:szCs w:val="28"/>
        </w:rPr>
        <w:t>“禁止兽药经营企业经营人用药品和假、劣兽药。”</w:t>
      </w:r>
      <w:r>
        <w:rPr>
          <w:rFonts w:asciiTheme="minorEastAsia" w:hAnsiTheme="minorEastAsia"/>
          <w:sz w:val="28"/>
          <w:szCs w:val="28"/>
        </w:rPr>
        <w:t>的规定</w:t>
      </w:r>
      <w:r>
        <w:rPr>
          <w:rFonts w:hint="eastAsia" w:asciiTheme="minorEastAsia" w:hAnsiTheme="minorEastAsia"/>
          <w:sz w:val="28"/>
          <w:szCs w:val="28"/>
        </w:rPr>
        <w:t>。本机关对当事人的上述行为定性为经营劣兽药。</w:t>
      </w:r>
    </w:p>
    <w:p w14:paraId="31EFDE31">
      <w:pPr>
        <w:spacing w:line="520" w:lineRule="exact"/>
        <w:ind w:firstLine="560" w:firstLineChars="200"/>
        <w:rPr>
          <w:rFonts w:asciiTheme="majorEastAsia" w:hAnsiTheme="majorEastAsia" w:eastAsiaTheme="majorEastAsia"/>
          <w:sz w:val="28"/>
          <w:szCs w:val="28"/>
        </w:rPr>
      </w:pPr>
      <w:r>
        <w:rPr>
          <w:rFonts w:hint="eastAsia" w:asciiTheme="minorEastAsia" w:hAnsiTheme="minorEastAsia"/>
          <w:sz w:val="28"/>
          <w:szCs w:val="28"/>
        </w:rPr>
        <w:t>2025年1月3日，本机关依法向当事人送达了《行政处罚事先告知书》金农罚告[2024]2号，根据《中华人民共和国行政处罚法》第四十四条、第四十五条的规定，告知了当事人拟作出的行政处罚的事实、理由、依据，当事人可在收到行政处罚事先告知书起三日内依法享有的陈述申辩的权利，当事人在法定期限内未向本机关进行陈述申辩，对《行政处罚事先告知书》中告知的违法事实和拟作出的处罚决定也没有提出异议。</w:t>
      </w:r>
      <w:r>
        <w:rPr>
          <w:rFonts w:hint="eastAsia" w:asciiTheme="majorEastAsia" w:hAnsiTheme="majorEastAsia" w:eastAsiaTheme="majorEastAsia"/>
          <w:sz w:val="28"/>
          <w:szCs w:val="28"/>
        </w:rPr>
        <w:t>考虑到当事人具有兽药经营许可证和所销售的兽药产品是有相关许可证明的合法兽药产品，且在本机关告知检测结果后积极配合调查，主动提供有关证据材料，并对所销售的产品积极召回，本机关拟给予当事人一般行政处罚。</w:t>
      </w:r>
    </w:p>
    <w:p w14:paraId="37D64989">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依据</w:t>
      </w:r>
      <w:r>
        <w:rPr>
          <w:rFonts w:asciiTheme="minorEastAsia" w:hAnsiTheme="minorEastAsia"/>
          <w:sz w:val="28"/>
          <w:szCs w:val="28"/>
        </w:rPr>
        <w:t>《兽药管理条例》第五十六条第一款</w:t>
      </w:r>
      <w:r>
        <w:rPr>
          <w:rFonts w:hint="eastAsia" w:asciiTheme="minorEastAsia" w:hAnsiTheme="minorEastAsia"/>
          <w:sz w:val="28"/>
          <w:szCs w:val="28"/>
        </w:rPr>
        <w:t>“</w:t>
      </w:r>
      <w:r>
        <w:rPr>
          <w:rFonts w:asciiTheme="minorEastAsia" w:hAnsiTheme="minorEastAsia"/>
          <w:sz w:val="28"/>
          <w:szCs w:val="28"/>
        </w:rPr>
        <w:t>违反本条例规定，无兽药生产许可证、兽药</w:t>
      </w:r>
      <w:r>
        <w:fldChar w:fldCharType="begin"/>
      </w:r>
      <w:r>
        <w:instrText xml:space="preserve"> HYPERLINK "https://baike.sogou.com/lemma/ShowInnerLink.htm?lemmaId=5923292&amp;ss_c=ssc.citiao.link" \t "_blank" </w:instrText>
      </w:r>
      <w:r>
        <w:fldChar w:fldCharType="separate"/>
      </w:r>
      <w:r>
        <w:rPr>
          <w:rFonts w:asciiTheme="minorEastAsia" w:hAnsiTheme="minorEastAsia"/>
          <w:sz w:val="28"/>
          <w:szCs w:val="28"/>
        </w:rPr>
        <w:t>经营许可证</w:t>
      </w:r>
      <w:r>
        <w:rPr>
          <w:rFonts w:asciiTheme="minorEastAsia" w:hAnsiTheme="minorEastAsia"/>
          <w:sz w:val="28"/>
          <w:szCs w:val="28"/>
        </w:rPr>
        <w:fldChar w:fldCharType="end"/>
      </w:r>
      <w:r>
        <w:rPr>
          <w:rFonts w:asciiTheme="minorEastAsia" w:hAnsiTheme="minorEastAsia"/>
          <w:sz w:val="28"/>
          <w:szCs w:val="28"/>
        </w:rPr>
        <w:t>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w:t>
      </w:r>
      <w:r>
        <w:fldChar w:fldCharType="begin"/>
      </w:r>
      <w:r>
        <w:instrText xml:space="preserve"> HYPERLINK "https://baike.sogou.com/lemma/ShowInnerLink.htm?lemmaId=10532488&amp;ss_c=ssc.citiao.link" \t "_blank" </w:instrText>
      </w:r>
      <w:r>
        <w:fldChar w:fldCharType="separate"/>
      </w:r>
      <w:r>
        <w:rPr>
          <w:rFonts w:asciiTheme="minorEastAsia" w:hAnsiTheme="minorEastAsia"/>
          <w:sz w:val="28"/>
          <w:szCs w:val="28"/>
        </w:rPr>
        <w:t>货值金额</w:t>
      </w:r>
      <w:r>
        <w:rPr>
          <w:rFonts w:asciiTheme="minorEastAsia" w:hAnsiTheme="minorEastAsia"/>
          <w:sz w:val="28"/>
          <w:szCs w:val="28"/>
        </w:rPr>
        <w:fldChar w:fldCharType="end"/>
      </w:r>
      <w:r>
        <w:rPr>
          <w:rFonts w:asciiTheme="minorEastAsia" w:hAnsiTheme="minorEastAsia"/>
          <w:sz w:val="28"/>
          <w:szCs w:val="28"/>
        </w:rPr>
        <w:t>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hint="eastAsia" w:asciiTheme="minorEastAsia" w:hAnsiTheme="minorEastAsia"/>
          <w:sz w:val="28"/>
          <w:szCs w:val="28"/>
        </w:rPr>
        <w:t>。”</w:t>
      </w:r>
      <w:r>
        <w:rPr>
          <w:rFonts w:asciiTheme="minorEastAsia" w:hAnsiTheme="minorEastAsia"/>
          <w:sz w:val="28"/>
          <w:szCs w:val="28"/>
        </w:rPr>
        <w:t>的</w:t>
      </w:r>
      <w:r>
        <w:rPr>
          <w:rFonts w:hint="eastAsia" w:asciiTheme="minorEastAsia" w:hAnsiTheme="minorEastAsia"/>
          <w:sz w:val="28"/>
          <w:szCs w:val="28"/>
        </w:rPr>
        <w:t>有关规定，</w:t>
      </w:r>
      <w:r>
        <w:rPr>
          <w:rFonts w:hint="eastAsia" w:asciiTheme="majorEastAsia" w:hAnsiTheme="majorEastAsia" w:eastAsiaTheme="majorEastAsia"/>
          <w:sz w:val="28"/>
          <w:szCs w:val="28"/>
        </w:rPr>
        <w:t>同时根据苏农规【2023】12号关于印发《江苏省农业行政处罚裁量权基准的》通知89项之规定“一般处罚标准是按照货值金额2.9倍以上3.8倍以下罚款进行处罚”，本机关按照涉案货值金额的3倍对当事人进行罚款。</w:t>
      </w:r>
      <w:r>
        <w:rPr>
          <w:rFonts w:hint="eastAsia" w:asciiTheme="minorEastAsia" w:hAnsiTheme="minorEastAsia"/>
          <w:sz w:val="28"/>
          <w:szCs w:val="28"/>
        </w:rPr>
        <w:t>本机关责令当事人停止违法行为 ，并依法作出如下处罚决定：</w:t>
      </w:r>
    </w:p>
    <w:p w14:paraId="774B4A65">
      <w:pPr>
        <w:pStyle w:val="3"/>
        <w:shd w:val="clear" w:color="auto" w:fill="FFFFFF"/>
        <w:spacing w:before="0" w:beforeAutospacing="0" w:after="0" w:afterAutospacing="0" w:line="520" w:lineRule="exact"/>
        <w:ind w:firstLine="560" w:firstLineChars="200"/>
        <w:rPr>
          <w:rFonts w:asciiTheme="majorEastAsia" w:hAnsiTheme="majorEastAsia" w:eastAsiaTheme="majorEastAsia" w:cstheme="minorBidi"/>
          <w:kern w:val="2"/>
          <w:sz w:val="28"/>
          <w:szCs w:val="28"/>
        </w:rPr>
      </w:pPr>
      <w:r>
        <w:rPr>
          <w:rFonts w:hint="eastAsia" w:asciiTheme="majorEastAsia" w:hAnsiTheme="majorEastAsia" w:eastAsiaTheme="majorEastAsia" w:cstheme="minorBidi"/>
          <w:kern w:val="2"/>
          <w:sz w:val="28"/>
          <w:szCs w:val="28"/>
        </w:rPr>
        <w:t>1.没收违法所得900元；</w:t>
      </w:r>
    </w:p>
    <w:p w14:paraId="0D065236">
      <w:pPr>
        <w:pStyle w:val="3"/>
        <w:shd w:val="clear" w:color="auto" w:fill="FFFFFF"/>
        <w:spacing w:before="0" w:beforeAutospacing="0" w:after="0" w:afterAutospacing="0" w:line="520" w:lineRule="exact"/>
        <w:ind w:firstLine="560" w:firstLineChars="200"/>
        <w:rPr>
          <w:rFonts w:asciiTheme="majorEastAsia" w:hAnsiTheme="majorEastAsia" w:eastAsiaTheme="majorEastAsia" w:cstheme="minorBidi"/>
          <w:kern w:val="2"/>
          <w:sz w:val="28"/>
          <w:szCs w:val="28"/>
        </w:rPr>
      </w:pPr>
      <w:r>
        <w:rPr>
          <w:rFonts w:hint="eastAsia" w:asciiTheme="majorEastAsia" w:hAnsiTheme="majorEastAsia" w:eastAsiaTheme="majorEastAsia" w:cstheme="minorBidi"/>
          <w:kern w:val="2"/>
          <w:sz w:val="28"/>
          <w:szCs w:val="28"/>
        </w:rPr>
        <w:t>2.并处罚款</w:t>
      </w:r>
      <w:r>
        <w:rPr>
          <w:rFonts w:asciiTheme="majorEastAsia" w:hAnsiTheme="majorEastAsia" w:eastAsiaTheme="majorEastAsia" w:cstheme="minorBidi"/>
          <w:kern w:val="2"/>
          <w:sz w:val="28"/>
          <w:szCs w:val="28"/>
        </w:rPr>
        <w:t xml:space="preserve"> </w:t>
      </w:r>
      <w:r>
        <w:rPr>
          <w:rFonts w:hint="eastAsia" w:asciiTheme="majorEastAsia" w:hAnsiTheme="majorEastAsia" w:eastAsiaTheme="majorEastAsia" w:cstheme="minorBidi"/>
          <w:kern w:val="2"/>
          <w:sz w:val="28"/>
          <w:szCs w:val="28"/>
        </w:rPr>
        <w:t>2700元，</w:t>
      </w:r>
    </w:p>
    <w:p w14:paraId="42DF8119">
      <w:pPr>
        <w:pStyle w:val="3"/>
        <w:shd w:val="clear" w:color="auto" w:fill="FFFFFF"/>
        <w:spacing w:before="0" w:beforeAutospacing="0" w:after="0" w:afterAutospacing="0" w:line="520" w:lineRule="exact"/>
        <w:ind w:firstLine="560" w:firstLineChars="200"/>
        <w:rPr>
          <w:rFonts w:asciiTheme="majorEastAsia" w:hAnsiTheme="majorEastAsia" w:eastAsiaTheme="majorEastAsia" w:cstheme="minorBidi"/>
          <w:kern w:val="2"/>
          <w:sz w:val="28"/>
          <w:szCs w:val="28"/>
        </w:rPr>
      </w:pPr>
      <w:r>
        <w:rPr>
          <w:rFonts w:hint="eastAsia" w:asciiTheme="majorEastAsia" w:hAnsiTheme="majorEastAsia" w:eastAsiaTheme="majorEastAsia" w:cstheme="minorBidi"/>
          <w:kern w:val="2"/>
          <w:sz w:val="28"/>
          <w:szCs w:val="28"/>
        </w:rPr>
        <w:t>罚没款合计3600元。</w:t>
      </w:r>
    </w:p>
    <w:p w14:paraId="4B8E73A6">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当事人必须在收到本处罚决定书之日起15日内持本决定书到金湖县工商银行营业部缴纳罚款。逾期不按规定缴纳罚款的，依照《中华人民共和国行政处罚法》第七十二条之规定，每日按罚款数额的3%加处罚款。</w:t>
      </w:r>
    </w:p>
    <w:p w14:paraId="65EB5CCB">
      <w:pPr>
        <w:adjustRightInd w:val="0"/>
        <w:snapToGrid w:val="0"/>
        <w:spacing w:line="520" w:lineRule="exact"/>
        <w:ind w:firstLine="570"/>
        <w:rPr>
          <w:rFonts w:asciiTheme="minorEastAsia" w:hAnsiTheme="minorEastAsia"/>
          <w:sz w:val="28"/>
          <w:szCs w:val="28"/>
        </w:rPr>
      </w:pPr>
      <w:r>
        <w:rPr>
          <w:rFonts w:hint="eastAsia" w:asciiTheme="minorEastAsia" w:hAnsiTheme="minorEastAsia"/>
          <w:sz w:val="28"/>
          <w:szCs w:val="28"/>
        </w:rPr>
        <w:t>当事人对本处罚决定不服的，可以在收到本处罚决定书之日起60内向</w:t>
      </w:r>
      <w:r>
        <w:rPr>
          <w:rFonts w:asciiTheme="minorEastAsia" w:hAnsiTheme="minorEastAsia"/>
          <w:sz w:val="28"/>
          <w:szCs w:val="28"/>
        </w:rPr>
        <w:t>金湖县</w:t>
      </w:r>
      <w:r>
        <w:rPr>
          <w:rFonts w:hint="eastAsia" w:asciiTheme="minorEastAsia" w:hAnsiTheme="minorEastAsia"/>
          <w:sz w:val="28"/>
          <w:szCs w:val="28"/>
        </w:rPr>
        <w:t>人民政府申请行政复议；或者6个月内向淮安市清江浦区人民法院提起行政诉讼。行政复议和行政诉讼期间，本处罚决定不停止执行。</w:t>
      </w:r>
    </w:p>
    <w:p w14:paraId="2F0E2E80">
      <w:pPr>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当事人逾期不申请行政复议或提起行政诉讼，也不履行本行政处罚决定的，本机关将依法申请人民法院强制执行。</w:t>
      </w:r>
    </w:p>
    <w:p w14:paraId="29C68DED">
      <w:pPr>
        <w:spacing w:line="520" w:lineRule="exact"/>
        <w:ind w:right="320"/>
        <w:jc w:val="right"/>
        <w:rPr>
          <w:rFonts w:asciiTheme="minorEastAsia" w:hAnsiTheme="minorEastAsia"/>
          <w:sz w:val="28"/>
          <w:szCs w:val="28"/>
        </w:rPr>
      </w:pPr>
      <w:r>
        <w:rPr>
          <w:rFonts w:hint="eastAsia" w:asciiTheme="minorEastAsia" w:hAnsiTheme="minorEastAsia"/>
          <w:sz w:val="28"/>
          <w:szCs w:val="28"/>
        </w:rPr>
        <w:t xml:space="preserve">                                      金湖县农业农村局</w:t>
      </w:r>
    </w:p>
    <w:p w14:paraId="43CCBA30">
      <w:pPr>
        <w:spacing w:line="520" w:lineRule="exact"/>
        <w:ind w:right="320"/>
        <w:jc w:val="center"/>
        <w:rPr>
          <w:rFonts w:asciiTheme="minorEastAsia" w:hAnsiTheme="minorEastAsia"/>
          <w:sz w:val="24"/>
          <w:szCs w:val="24"/>
        </w:rPr>
      </w:pPr>
      <w:r>
        <w:rPr>
          <w:rFonts w:hint="eastAsia" w:asciiTheme="minorEastAsia" w:hAnsiTheme="minorEastAsia"/>
          <w:sz w:val="28"/>
          <w:szCs w:val="28"/>
        </w:rPr>
        <w:t xml:space="preserve">                                        2025年1月13</w:t>
      </w:r>
      <w:r>
        <w:rPr>
          <w:rFonts w:hint="eastAsia" w:asciiTheme="minorEastAsia" w:hAnsiTheme="minorEastAsia"/>
          <w:sz w:val="24"/>
          <w:szCs w:val="24"/>
        </w:rPr>
        <w:t>日</w:t>
      </w:r>
    </w:p>
    <w:p w14:paraId="367AF1AB"/>
    <w:p w14:paraId="7BEE51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7FC"/>
    <w:rsid w:val="00170B97"/>
    <w:rsid w:val="00326681"/>
    <w:rsid w:val="005427FC"/>
    <w:rsid w:val="00AC6E10"/>
    <w:rsid w:val="5F65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widowControl/>
      <w:shd w:val="clear" w:color="auto" w:fill="FFFFFF"/>
      <w:jc w:val="center"/>
      <w:textAlignment w:val="baseline"/>
      <w:outlineLvl w:val="0"/>
    </w:pPr>
    <w:rPr>
      <w:rFonts w:ascii="宋体" w:hAnsi="宋体" w:eastAsia="华文中宋" w:cs="Times New Roman"/>
      <w:b/>
      <w:kern w:val="0"/>
      <w:sz w:val="44"/>
      <w:szCs w:val="44"/>
      <w:shd w:val="clear" w:color="auto" w:fill="FFFFFF"/>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0"/>
    <w:rPr>
      <w:rFonts w:ascii="宋体" w:hAnsi="宋体" w:eastAsia="华文中宋" w:cs="Times New Roman"/>
      <w:b/>
      <w:kern w:val="0"/>
      <w:sz w:val="44"/>
      <w:szCs w:val="44"/>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3183</Words>
  <Characters>3379</Characters>
  <Lines>27</Lines>
  <Paragraphs>7</Paragraphs>
  <TotalTime>0</TotalTime>
  <ScaleCrop>false</ScaleCrop>
  <LinksUpToDate>false</LinksUpToDate>
  <CharactersWithSpaces>3590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2025-01-17T08:48:00Z</dcterms:created>
  <dc:creator>一剑</dc:creator>
  <cp:lastModifiedBy>。</cp:lastModifiedBy>
  <dcterms:modified xsi:type="dcterms:W3CDTF">2025-01-17T09:26:04Z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eyJoZGlkIjoiYzM4Y2RiMTZhYTIwYTU5NTZiOGE5OTI4ODJmOTI3ZTAiLCJ1c2VySWQiOiIyNDA1OTAwODcifQ==</vt:lpwstr>
  </property>
  <property fmtid="{D5CDD505-2E9C-101B-9397-08002B2CF9AE}" pid="3" name="KSOProductBuildVer">
    <vt:lpwstr>2052-12.1.0.19770</vt:lpwstr>
  </property>
  <property fmtid="{D5CDD505-2E9C-101B-9397-08002B2CF9AE}" pid="4" name="ICV">
    <vt:lpwstr>A399FDD2DC724028A1E25DE2AD1513ED_12</vt:lpwstr>
  </property>
</Properties>
</file>