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B1560">
      <w:pPr>
        <w:pageBreakBefore w:val="0"/>
        <w:widowControl w:val="0"/>
        <w:kinsoku/>
        <w:wordWrap/>
        <w:overflowPunct/>
        <w:topLinePunct w:val="0"/>
        <w:autoSpaceDE/>
        <w:autoSpaceDN/>
        <w:bidi w:val="0"/>
        <w:spacing w:line="590" w:lineRule="atLeast"/>
        <w:jc w:val="center"/>
        <w:textAlignment w:val="auto"/>
        <w:rPr>
          <w:rFonts w:hint="eastAsia"/>
          <w:lang w:val="en-US" w:eastAsia="zh-CN"/>
        </w:rPr>
      </w:pPr>
      <w:r>
        <w:rPr>
          <w:rFonts w:hint="eastAsia" w:ascii="方正小标宋_GBK" w:hAnsi="方正小标宋_GBK" w:eastAsia="方正小标宋_GBK" w:cs="方正小标宋_GBK"/>
          <w:bCs/>
          <w:sz w:val="44"/>
          <w:szCs w:val="44"/>
          <w:lang w:val="en-US" w:eastAsia="zh-CN"/>
        </w:rPr>
        <w:t>前锋镇</w:t>
      </w:r>
      <w:r>
        <w:rPr>
          <w:rFonts w:hint="eastAsia" w:ascii="Times New Roman" w:hAnsi="Times New Roman" w:eastAsia="方正仿宋_GBK" w:cs="Times New Roman"/>
          <w:sz w:val="44"/>
          <w:szCs w:val="44"/>
          <w:lang w:val="en-US" w:eastAsia="zh-CN"/>
        </w:rPr>
        <w:t>2024</w:t>
      </w:r>
      <w:r>
        <w:rPr>
          <w:rFonts w:hint="eastAsia" w:ascii="方正小标宋_GBK" w:hAnsi="方正小标宋_GBK" w:eastAsia="方正小标宋_GBK" w:cs="方正小标宋_GBK"/>
          <w:bCs/>
          <w:sz w:val="44"/>
          <w:szCs w:val="44"/>
          <w:lang w:val="en-US" w:eastAsia="zh-CN"/>
        </w:rPr>
        <w:t>年度法治政</w:t>
      </w:r>
      <w:bookmarkStart w:id="0" w:name="_GoBack"/>
      <w:bookmarkEnd w:id="0"/>
      <w:r>
        <w:rPr>
          <w:rFonts w:hint="eastAsia" w:ascii="方正小标宋_GBK" w:hAnsi="方正小标宋_GBK" w:eastAsia="方正小标宋_GBK" w:cs="方正小标宋_GBK"/>
          <w:bCs/>
          <w:sz w:val="44"/>
          <w:szCs w:val="44"/>
          <w:lang w:val="en-US" w:eastAsia="zh-CN"/>
        </w:rPr>
        <w:t>府建设工作报告</w:t>
      </w:r>
    </w:p>
    <w:p w14:paraId="57BBDE81">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Times New Roman" w:hAnsi="Times New Roman" w:eastAsia="方正仿宋_GBK" w:cs="Times New Roman"/>
          <w:sz w:val="32"/>
          <w:szCs w:val="32"/>
          <w:lang w:val="en-US" w:eastAsia="zh-CN"/>
        </w:rPr>
      </w:pPr>
    </w:p>
    <w:p w14:paraId="3999B6AF">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方正仿宋_GBK" w:hAnsi="方正仿宋_GBK" w:eastAsia="方正仿宋_GBK" w:cs="方正仿宋_GBK"/>
          <w:color w:val="121212"/>
          <w:sz w:val="32"/>
          <w:szCs w:val="32"/>
          <w:lang w:val="en-US" w:eastAsia="zh-CN"/>
        </w:rPr>
      </w:pPr>
      <w:r>
        <w:rPr>
          <w:rFonts w:hint="eastAsia" w:ascii="Times New Roman" w:hAnsi="Times New Roman" w:eastAsia="方正仿宋_GBK" w:cs="Times New Roman"/>
          <w:sz w:val="32"/>
          <w:szCs w:val="32"/>
          <w:lang w:val="en-US" w:eastAsia="zh-CN"/>
        </w:rPr>
        <w:t>2024</w:t>
      </w:r>
      <w:r>
        <w:rPr>
          <w:rFonts w:hint="eastAsia" w:ascii="方正仿宋_GBK" w:hAnsi="方正仿宋_GBK" w:eastAsia="方正仿宋_GBK" w:cs="方正仿宋_GBK"/>
          <w:color w:val="121212"/>
          <w:sz w:val="32"/>
          <w:szCs w:val="32"/>
          <w:lang w:val="en-US" w:eastAsia="zh-CN"/>
        </w:rPr>
        <w:t>年，在县委、县政府的坚强领导下，前锋镇党委、政府坚持以习近平新时代中国特色社会主义思想为统领，深入学习贯彻党的二十届三中全会精神和习近平法治思想，认真落实中央、省委、市委、县委的部署要求，弘扬社会主义法治精神，不断规范行政行为，积极推动基层社会治理，法治前锋建设取得新实效。</w:t>
      </w:r>
    </w:p>
    <w:p w14:paraId="24B0C331">
      <w:pPr>
        <w:pStyle w:val="4"/>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方正黑体_GBK" w:hAnsi="方正黑体_GBK" w:eastAsia="方正黑体_GBK" w:cs="方正黑体_GBK"/>
          <w:color w:val="121212"/>
          <w:kern w:val="2"/>
          <w:sz w:val="32"/>
          <w:szCs w:val="32"/>
          <w:lang w:val="en-US" w:eastAsia="zh-CN" w:bidi="ar-SA"/>
        </w:rPr>
      </w:pPr>
      <w:r>
        <w:rPr>
          <w:rFonts w:hint="eastAsia" w:ascii="方正黑体_GBK" w:hAnsi="方正黑体_GBK" w:eastAsia="方正黑体_GBK" w:cs="方正黑体_GBK"/>
          <w:color w:val="121212"/>
          <w:kern w:val="2"/>
          <w:sz w:val="32"/>
          <w:szCs w:val="32"/>
          <w:lang w:val="en-US" w:eastAsia="zh-CN" w:bidi="ar-SA"/>
        </w:rPr>
        <w:t>一、</w:t>
      </w:r>
      <w:r>
        <w:rPr>
          <w:rFonts w:hint="eastAsia" w:ascii="Times New Roman" w:hAnsi="Times New Roman" w:eastAsia="方正仿宋_GBK" w:cs="Times New Roman"/>
          <w:kern w:val="2"/>
          <w:sz w:val="32"/>
          <w:szCs w:val="32"/>
          <w:lang w:val="en-US" w:eastAsia="zh-CN" w:bidi="ar-SA"/>
        </w:rPr>
        <w:t>2024</w:t>
      </w:r>
      <w:r>
        <w:rPr>
          <w:rFonts w:hint="eastAsia" w:ascii="方正黑体_GBK" w:hAnsi="方正黑体_GBK" w:eastAsia="方正黑体_GBK" w:cs="方正黑体_GBK"/>
          <w:color w:val="121212"/>
          <w:kern w:val="2"/>
          <w:sz w:val="32"/>
          <w:szCs w:val="32"/>
          <w:lang w:val="en-US" w:eastAsia="zh-CN" w:bidi="ar-SA"/>
        </w:rPr>
        <w:t>年度推进法治政府建设的主要举措和成效</w:t>
      </w:r>
    </w:p>
    <w:p w14:paraId="4AF7B090">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仿宋_GB2312" w:hAnsi="仿宋_GB2312" w:eastAsia="仿宋_GB2312" w:cs="仿宋_GB2312"/>
          <w:color w:val="121212"/>
          <w:sz w:val="32"/>
          <w:szCs w:val="32"/>
          <w:lang w:val="en-US" w:eastAsia="zh-CN"/>
        </w:rPr>
      </w:pPr>
      <w:r>
        <w:rPr>
          <w:rFonts w:hint="eastAsia" w:ascii="方正楷体_GBK" w:hAnsi="方正楷体_GBK" w:eastAsia="方正楷体_GBK" w:cs="方正楷体_GBK"/>
          <w:color w:val="121212"/>
          <w:kern w:val="2"/>
          <w:sz w:val="32"/>
          <w:szCs w:val="32"/>
          <w:lang w:val="en-US" w:eastAsia="zh-CN" w:bidi="ar-SA"/>
        </w:rPr>
        <w:t>（一）发挥引领作用，确保法治政府建设取得新成效。</w:t>
      </w:r>
      <w:r>
        <w:rPr>
          <w:rFonts w:hint="eastAsia" w:ascii="方正仿宋_GBK" w:hAnsi="方正仿宋_GBK" w:eastAsia="方正仿宋_GBK" w:cs="方正仿宋_GBK"/>
          <w:b/>
          <w:bCs/>
          <w:color w:val="121212"/>
          <w:sz w:val="32"/>
          <w:szCs w:val="32"/>
          <w:lang w:val="en-US" w:eastAsia="zh-CN"/>
        </w:rPr>
        <w:t>坚持思想引领，统筹推进法治建设。</w:t>
      </w:r>
      <w:r>
        <w:rPr>
          <w:rFonts w:hint="eastAsia" w:ascii="方正仿宋_GBK" w:hAnsi="方正仿宋_GBK" w:eastAsia="方正仿宋_GBK" w:cs="方正仿宋_GBK"/>
          <w:color w:val="121212"/>
          <w:sz w:val="32"/>
          <w:szCs w:val="32"/>
          <w:lang w:val="en-US" w:eastAsia="zh-CN"/>
        </w:rPr>
        <w:t>充分发挥“关键少数”在法治镇街建设中的引领作用，全体班子成员认真履行推进法治建设第一责任人职责，将法治建设摆在全镇重要位置，坚持以身作则、以上率下，不断加强对法治政府建设的组织领导。</w:t>
      </w:r>
      <w:r>
        <w:rPr>
          <w:rFonts w:hint="eastAsia" w:ascii="方正仿宋_GBK" w:hAnsi="方正仿宋_GBK" w:eastAsia="方正仿宋_GBK" w:cs="方正仿宋_GBK"/>
          <w:b/>
          <w:bCs/>
          <w:color w:val="121212"/>
          <w:sz w:val="32"/>
          <w:szCs w:val="32"/>
          <w:lang w:val="en-US" w:eastAsia="zh-CN"/>
        </w:rPr>
        <w:t>坚持机制引领，法治建设落地落实。</w:t>
      </w:r>
      <w:r>
        <w:rPr>
          <w:rFonts w:hint="eastAsia" w:ascii="方正仿宋_GBK" w:hAnsi="方正仿宋_GBK" w:eastAsia="方正仿宋_GBK" w:cs="方正仿宋_GBK"/>
          <w:color w:val="121212"/>
          <w:sz w:val="32"/>
          <w:szCs w:val="32"/>
          <w:lang w:val="en-US" w:eastAsia="zh-CN"/>
        </w:rPr>
        <w:t>定期召开法治建设部署会、法治政府建设年度报告会、行政诉讼案件分析会等，对标对表抓好法治政府建设重点任务落实，及时研究解决法治政府建设中的重大问题，以项目化、清单化、责任化、时限化推进法治政府工作落实。</w:t>
      </w:r>
      <w:r>
        <w:rPr>
          <w:rFonts w:hint="eastAsia" w:ascii="方正仿宋_GBK" w:hAnsi="方正仿宋_GBK" w:eastAsia="方正仿宋_GBK" w:cs="方正仿宋_GBK"/>
          <w:b/>
          <w:bCs/>
          <w:color w:val="121212"/>
          <w:sz w:val="32"/>
          <w:szCs w:val="32"/>
          <w:lang w:val="en-US" w:eastAsia="zh-CN"/>
        </w:rPr>
        <w:t>坚持学法引领，提升干部法治素养。</w:t>
      </w:r>
      <w:r>
        <w:rPr>
          <w:rFonts w:hint="eastAsia" w:ascii="方正仿宋_GBK" w:hAnsi="方正仿宋_GBK" w:eastAsia="方正仿宋_GBK" w:cs="方正仿宋_GBK"/>
          <w:color w:val="121212"/>
          <w:sz w:val="32"/>
          <w:szCs w:val="32"/>
          <w:lang w:val="en-US" w:eastAsia="zh-CN"/>
        </w:rPr>
        <w:t>组织专题学法活动，建立完善领导干部学法机制、党组理论学习中心组学法制度，把习近平法治思想、《宪法》《中华人民共和国民法典》等法律法规政策列入党组年度学习计划，不断提高领导班子</w:t>
      </w:r>
      <w:r>
        <w:rPr>
          <w:rFonts w:hint="default" w:ascii="方正仿宋_GBK" w:hAnsi="方正仿宋_GBK" w:eastAsia="方正仿宋_GBK" w:cs="方正仿宋_GBK"/>
          <w:color w:val="121212"/>
          <w:sz w:val="32"/>
          <w:szCs w:val="32"/>
          <w:lang w:val="en-US" w:eastAsia="zh-CN"/>
        </w:rPr>
        <w:t>运用法治思维和法治方式推动发展、化解矛盾、维护稳定的能力</w:t>
      </w:r>
      <w:r>
        <w:rPr>
          <w:rFonts w:hint="eastAsia" w:ascii="方正仿宋_GBK" w:hAnsi="方正仿宋_GBK" w:eastAsia="方正仿宋_GBK" w:cs="方正仿宋_GBK"/>
          <w:color w:val="121212"/>
          <w:sz w:val="32"/>
          <w:szCs w:val="32"/>
          <w:lang w:val="en-US" w:eastAsia="zh-CN"/>
        </w:rPr>
        <w:t>，切实提高全镇干部法治化意识和水平，积极有效提升依法行政和科学执政的理念和能力。</w:t>
      </w:r>
    </w:p>
    <w:p w14:paraId="33CB0172">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left"/>
        <w:textAlignment w:val="auto"/>
        <w:rPr>
          <w:rFonts w:hint="eastAsia" w:ascii="方正仿宋_GBK" w:hAnsi="方正仿宋_GBK" w:eastAsia="方正仿宋_GBK" w:cs="方正仿宋_GBK"/>
          <w:color w:val="121212"/>
          <w:sz w:val="32"/>
          <w:szCs w:val="32"/>
          <w:lang w:val="en-US" w:eastAsia="zh-CN"/>
        </w:rPr>
      </w:pPr>
      <w:r>
        <w:rPr>
          <w:rFonts w:hint="eastAsia" w:ascii="方正楷体_GBK" w:hAnsi="方正楷体_GBK" w:eastAsia="方正楷体_GBK" w:cs="方正楷体_GBK"/>
          <w:color w:val="121212"/>
          <w:kern w:val="2"/>
          <w:sz w:val="32"/>
          <w:szCs w:val="32"/>
          <w:lang w:val="en-US" w:eastAsia="zh-CN" w:bidi="ar-SA"/>
        </w:rPr>
        <w:t>（二）发挥核心作用，推动法治前锋建设迈上新台阶。</w:t>
      </w:r>
      <w:r>
        <w:rPr>
          <w:rFonts w:hint="eastAsia" w:ascii="方正仿宋_GBK" w:hAnsi="方正仿宋_GBK" w:eastAsia="方正仿宋_GBK" w:cs="方正仿宋_GBK"/>
          <w:b/>
          <w:bCs/>
          <w:color w:val="121212"/>
          <w:sz w:val="32"/>
          <w:szCs w:val="32"/>
          <w:lang w:val="en-US" w:eastAsia="zh-CN"/>
        </w:rPr>
        <w:t>以最坚决的态度扛起法治保障。</w:t>
      </w:r>
      <w:r>
        <w:rPr>
          <w:rFonts w:hint="default" w:ascii="方正仿宋_GBK" w:hAnsi="方正仿宋_GBK" w:eastAsia="方正仿宋_GBK" w:cs="方正仿宋_GBK"/>
          <w:color w:val="121212"/>
          <w:sz w:val="32"/>
          <w:szCs w:val="32"/>
          <w:lang w:val="en-US" w:eastAsia="zh-CN"/>
        </w:rPr>
        <w:t>强化“法治是最好的营商环境”理念，</w:t>
      </w:r>
      <w:r>
        <w:rPr>
          <w:rFonts w:hint="eastAsia" w:ascii="方正仿宋_GBK" w:hAnsi="方正仿宋_GBK" w:eastAsia="方正仿宋_GBK" w:cs="方正仿宋_GBK"/>
          <w:color w:val="121212"/>
          <w:sz w:val="32"/>
          <w:szCs w:val="32"/>
          <w:lang w:val="en-US" w:eastAsia="zh-CN"/>
        </w:rPr>
        <w:t>前锋镇</w:t>
      </w:r>
      <w:r>
        <w:rPr>
          <w:rFonts w:hint="default" w:ascii="方正仿宋_GBK" w:hAnsi="方正仿宋_GBK" w:eastAsia="方正仿宋_GBK" w:cs="方正仿宋_GBK"/>
          <w:color w:val="121212"/>
          <w:sz w:val="32"/>
          <w:szCs w:val="32"/>
          <w:lang w:val="en-US" w:eastAsia="zh-CN"/>
        </w:rPr>
        <w:t>紧盯“</w:t>
      </w:r>
      <w:r>
        <w:rPr>
          <w:rFonts w:hint="eastAsia" w:ascii="方正仿宋_GBK" w:hAnsi="方正仿宋_GBK" w:eastAsia="方正仿宋_GBK" w:cs="方正仿宋_GBK"/>
          <w:color w:val="121212"/>
          <w:sz w:val="32"/>
          <w:szCs w:val="32"/>
          <w:lang w:val="en-US" w:eastAsia="zh-CN"/>
        </w:rPr>
        <w:t>让</w:t>
      </w:r>
      <w:r>
        <w:rPr>
          <w:rFonts w:hint="default" w:ascii="方正仿宋_GBK" w:hAnsi="方正仿宋_GBK" w:eastAsia="方正仿宋_GBK" w:cs="方正仿宋_GBK"/>
          <w:color w:val="121212"/>
          <w:sz w:val="32"/>
          <w:szCs w:val="32"/>
          <w:lang w:val="en-US" w:eastAsia="zh-CN"/>
        </w:rPr>
        <w:t>法治成为营商环境‘最硬内核’”目标，全面落实</w:t>
      </w:r>
      <w:r>
        <w:rPr>
          <w:rFonts w:hint="eastAsia" w:ascii="方正仿宋_GBK" w:hAnsi="方正仿宋_GBK" w:eastAsia="方正仿宋_GBK" w:cs="方正仿宋_GBK"/>
          <w:color w:val="121212"/>
          <w:sz w:val="32"/>
          <w:szCs w:val="32"/>
          <w:lang w:val="en-US" w:eastAsia="zh-CN"/>
        </w:rPr>
        <w:t>《关于加快推进法治化营商环境建设的指导意见》</w:t>
      </w:r>
      <w:r>
        <w:rPr>
          <w:rFonts w:hint="default" w:ascii="方正仿宋_GBK" w:hAnsi="方正仿宋_GBK" w:eastAsia="方正仿宋_GBK" w:cs="方正仿宋_GBK"/>
          <w:color w:val="121212"/>
          <w:sz w:val="32"/>
          <w:szCs w:val="32"/>
          <w:lang w:val="en-US" w:eastAsia="zh-CN"/>
        </w:rPr>
        <w:t>各项要求，</w:t>
      </w:r>
      <w:r>
        <w:rPr>
          <w:rFonts w:hint="eastAsia" w:ascii="方正仿宋_GBK" w:hAnsi="方正仿宋_GBK" w:eastAsia="方正仿宋_GBK" w:cs="方正仿宋_GBK"/>
          <w:color w:val="121212"/>
          <w:sz w:val="32"/>
          <w:szCs w:val="32"/>
          <w:lang w:val="en-US" w:eastAsia="zh-CN"/>
        </w:rPr>
        <w:t>贯彻落实《淮安市优化营商环境条例》。聚力产能绿色升级、保护企业合法权益、提升为企服务水平，有效促进社会经济的健康发展，完善新领域新业态知识产权保护，有效促进社会经济的健康发展。</w:t>
      </w:r>
      <w:r>
        <w:rPr>
          <w:rFonts w:hint="eastAsia" w:ascii="方正仿宋_GBK" w:hAnsi="方正仿宋_GBK" w:eastAsia="方正仿宋_GBK" w:cs="方正仿宋_GBK"/>
          <w:b/>
          <w:bCs/>
          <w:color w:val="121212"/>
          <w:sz w:val="32"/>
          <w:szCs w:val="32"/>
          <w:lang w:val="en-US" w:eastAsia="zh-CN"/>
        </w:rPr>
        <w:t>以最有力的举措抓好宣传教育。</w:t>
      </w:r>
      <w:r>
        <w:rPr>
          <w:rFonts w:hint="eastAsia" w:ascii="方正仿宋_GBK" w:hAnsi="方正仿宋_GBK" w:eastAsia="方正仿宋_GBK" w:cs="方正仿宋_GBK"/>
          <w:color w:val="121212"/>
          <w:sz w:val="32"/>
          <w:szCs w:val="32"/>
          <w:lang w:val="en-US" w:eastAsia="zh-CN"/>
        </w:rPr>
        <w:t>全镇着眼提高党员干部法治思维和全民法治意识，把法治宣传教育深度融入重要节庆活动和重点工作推进，明确目标、细化责任、狠抓落实，全力提升覆盖面和实际成效。</w:t>
      </w:r>
      <w:r>
        <w:rPr>
          <w:rFonts w:hint="eastAsia" w:ascii="方正仿宋_GBK" w:hAnsi="方正仿宋_GBK" w:eastAsia="方正仿宋_GBK" w:cs="方正仿宋_GBK"/>
          <w:b/>
          <w:bCs/>
          <w:color w:val="121212"/>
          <w:sz w:val="32"/>
          <w:szCs w:val="32"/>
          <w:lang w:val="en-US" w:eastAsia="zh-CN"/>
        </w:rPr>
        <w:t>以最严格的要求推进综合行政执法。</w:t>
      </w:r>
      <w:r>
        <w:rPr>
          <w:rFonts w:hint="eastAsia" w:ascii="方正仿宋_GBK" w:hAnsi="方正仿宋_GBK" w:eastAsia="方正仿宋_GBK" w:cs="方正仿宋_GBK"/>
          <w:color w:val="121212"/>
          <w:sz w:val="32"/>
          <w:szCs w:val="32"/>
          <w:lang w:val="en-US" w:eastAsia="zh-CN"/>
        </w:rPr>
        <w:t>纵深推进全镇行政执法能力建设</w:t>
      </w:r>
      <w:r>
        <w:rPr>
          <w:rFonts w:hint="default" w:ascii="方正仿宋_GBK" w:hAnsi="方正仿宋_GBK" w:eastAsia="方正仿宋_GBK" w:cs="方正仿宋_GBK"/>
          <w:color w:val="121212"/>
          <w:sz w:val="32"/>
          <w:szCs w:val="32"/>
          <w:lang w:val="en-US" w:eastAsia="zh-CN"/>
        </w:rPr>
        <w:t>，持续加强基层执法规范化建设，建强一线执法队伍，提升执法为民服务发展综合素能，</w:t>
      </w:r>
      <w:r>
        <w:rPr>
          <w:rFonts w:hint="eastAsia" w:ascii="方正仿宋_GBK" w:hAnsi="方正仿宋_GBK" w:eastAsia="方正仿宋_GBK" w:cs="方正仿宋_GBK"/>
          <w:color w:val="121212"/>
          <w:sz w:val="32"/>
          <w:szCs w:val="32"/>
          <w:lang w:val="en-US" w:eastAsia="zh-CN"/>
        </w:rPr>
        <w:t>在日常执法中能够</w:t>
      </w:r>
      <w:r>
        <w:rPr>
          <w:rFonts w:hint="default" w:ascii="方正仿宋_GBK" w:hAnsi="方正仿宋_GBK" w:eastAsia="方正仿宋_GBK" w:cs="方正仿宋_GBK"/>
          <w:color w:val="121212"/>
          <w:sz w:val="32"/>
          <w:szCs w:val="32"/>
          <w:lang w:val="en-US" w:eastAsia="zh-CN"/>
        </w:rPr>
        <w:t>做到严格公正文明规范执法，</w:t>
      </w:r>
      <w:r>
        <w:rPr>
          <w:rFonts w:hint="eastAsia" w:ascii="方正仿宋_GBK" w:hAnsi="方正仿宋_GBK" w:eastAsia="方正仿宋_GBK" w:cs="方正仿宋_GBK"/>
          <w:color w:val="121212"/>
          <w:sz w:val="32"/>
          <w:szCs w:val="32"/>
          <w:lang w:val="en-US" w:eastAsia="zh-CN"/>
        </w:rPr>
        <w:t>全力</w:t>
      </w:r>
      <w:r>
        <w:rPr>
          <w:rFonts w:hint="default" w:ascii="方正仿宋_GBK" w:hAnsi="方正仿宋_GBK" w:eastAsia="方正仿宋_GBK" w:cs="方正仿宋_GBK"/>
          <w:color w:val="121212"/>
          <w:sz w:val="32"/>
          <w:szCs w:val="32"/>
          <w:lang w:val="en-US" w:eastAsia="zh-CN"/>
        </w:rPr>
        <w:t>为民办实事、做好事、解难事。</w:t>
      </w:r>
    </w:p>
    <w:p w14:paraId="5DB68998">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121212"/>
          <w:sz w:val="32"/>
          <w:szCs w:val="32"/>
          <w:lang w:val="en-US" w:eastAsia="zh-CN"/>
        </w:rPr>
      </w:pPr>
      <w:r>
        <w:rPr>
          <w:rFonts w:hint="eastAsia" w:ascii="方正楷体_GBK" w:hAnsi="方正楷体_GBK" w:eastAsia="方正楷体_GBK" w:cs="方正楷体_GBK"/>
          <w:color w:val="121212"/>
          <w:kern w:val="2"/>
          <w:sz w:val="32"/>
          <w:szCs w:val="32"/>
          <w:lang w:val="en-US" w:eastAsia="zh-CN" w:bidi="ar-SA"/>
        </w:rPr>
        <w:t>（三）发挥全局作用，促进法治前锋建设融入新质力。</w:t>
      </w:r>
      <w:r>
        <w:rPr>
          <w:rFonts w:hint="eastAsia" w:ascii="方正仿宋_GBK" w:hAnsi="方正仿宋_GBK" w:eastAsia="方正仿宋_GBK" w:cs="方正仿宋_GBK"/>
          <w:b/>
          <w:bCs/>
          <w:color w:val="121212"/>
          <w:sz w:val="32"/>
          <w:szCs w:val="32"/>
          <w:lang w:val="en-US" w:eastAsia="zh-CN"/>
        </w:rPr>
        <w:t>各部门坚持依法决策，建立健全行政决策机制。</w:t>
      </w:r>
      <w:r>
        <w:rPr>
          <w:rFonts w:hint="eastAsia" w:ascii="方正仿宋_GBK" w:hAnsi="方正仿宋_GBK" w:eastAsia="方正仿宋_GBK" w:cs="方正仿宋_GBK"/>
          <w:color w:val="121212"/>
          <w:sz w:val="32"/>
          <w:szCs w:val="32"/>
          <w:lang w:val="en-US" w:eastAsia="zh-CN"/>
        </w:rPr>
        <w:t>整合镇法律服务资源，严格落实重大行政决策合法性审查报审程序和政府规范性文件监管，确保重大行政决策严格执行公众参与、专家论证、风险评估、合法性审查、集体讨论决定等程序。</w:t>
      </w:r>
      <w:r>
        <w:rPr>
          <w:rFonts w:hint="eastAsia" w:ascii="方正仿宋_GBK" w:hAnsi="方正仿宋_GBK" w:eastAsia="方正仿宋_GBK" w:cs="方正仿宋_GBK"/>
          <w:b/>
          <w:bCs/>
          <w:color w:val="121212"/>
          <w:sz w:val="32"/>
          <w:szCs w:val="32"/>
          <w:lang w:val="en-US" w:eastAsia="zh-CN"/>
        </w:rPr>
        <w:t>各部门坚持法治保障，全力建设平安前锋。</w:t>
      </w:r>
      <w:r>
        <w:rPr>
          <w:rFonts w:hint="eastAsia" w:ascii="方正仿宋_GBK" w:hAnsi="方正仿宋_GBK" w:eastAsia="方正仿宋_GBK" w:cs="方正仿宋_GBK"/>
          <w:color w:val="121212"/>
          <w:sz w:val="32"/>
          <w:szCs w:val="32"/>
          <w:lang w:val="en-US" w:eastAsia="zh-CN"/>
        </w:rPr>
        <w:t>全镇上下坚持和发展新时代“枫桥经验”，坚持以群众矛盾纠纷化解“最多跑一地”为目标，以构建完善社会矛盾纠纷多元化解格局为重点，全力提质升级“一站式”矛盾纠纷调处平台建设，力争将矛盾纠纷调处中心建设成为群众矛盾纠纷调处化解的“终点站”。</w:t>
      </w:r>
      <w:r>
        <w:rPr>
          <w:rFonts w:hint="eastAsia" w:ascii="方正仿宋_GBK" w:hAnsi="方正仿宋_GBK" w:eastAsia="方正仿宋_GBK" w:cs="方正仿宋_GBK"/>
          <w:b/>
          <w:bCs/>
          <w:color w:val="121212"/>
          <w:sz w:val="32"/>
          <w:szCs w:val="32"/>
          <w:lang w:val="en-US" w:eastAsia="zh-CN"/>
        </w:rPr>
        <w:t>各部门坚持法治为民，加强民生法律服务。</w:t>
      </w:r>
      <w:r>
        <w:rPr>
          <w:rFonts w:hint="eastAsia" w:ascii="Times New Roman" w:hAnsi="Times New Roman" w:eastAsia="方正仿宋_GBK" w:cs="Times New Roman"/>
          <w:kern w:val="2"/>
          <w:sz w:val="32"/>
          <w:szCs w:val="32"/>
          <w:lang w:val="en-US" w:eastAsia="zh-CN" w:bidi="ar-SA"/>
        </w:rPr>
        <w:t>2024</w:t>
      </w:r>
      <w:r>
        <w:rPr>
          <w:rFonts w:hint="eastAsia" w:ascii="方正仿宋_GBK" w:hAnsi="方正仿宋_GBK" w:eastAsia="方正仿宋_GBK" w:cs="方正仿宋_GBK"/>
          <w:color w:val="121212"/>
          <w:sz w:val="32"/>
          <w:szCs w:val="32"/>
          <w:lang w:val="en-US" w:eastAsia="zh-CN"/>
        </w:rPr>
        <w:t>年全镇围绕群众法律需求，以“应援尽援、应援优援”为目标，开展法律法规和政策的宣传、解读、咨询和援助工作。从群众切身实际利益下手，优化法律援助流程，方便群众办事，为妇女、残障人士、农民工等困难群众开辟绿色通道。</w:t>
      </w:r>
    </w:p>
    <w:p w14:paraId="33B555F1">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方正黑体_GBK" w:hAnsi="方正黑体_GBK" w:eastAsia="方正黑体_GBK" w:cs="方正黑体_GBK"/>
          <w:color w:val="121212"/>
          <w:kern w:val="2"/>
          <w:sz w:val="32"/>
          <w:szCs w:val="32"/>
          <w:lang w:val="en-US" w:eastAsia="zh-CN" w:bidi="ar-SA"/>
        </w:rPr>
      </w:pPr>
      <w:r>
        <w:rPr>
          <w:rFonts w:hint="eastAsia" w:ascii="方正黑体_GBK" w:hAnsi="方正黑体_GBK" w:eastAsia="方正黑体_GBK" w:cs="方正黑体_GBK"/>
          <w:color w:val="121212"/>
          <w:kern w:val="2"/>
          <w:sz w:val="32"/>
          <w:szCs w:val="32"/>
          <w:lang w:val="en-US" w:eastAsia="zh-CN" w:bidi="ar-SA"/>
        </w:rPr>
        <w:t>二、党政主要负责人履行推进法治建设第一责任人职责，加强法治政府建设的有关情况</w:t>
      </w:r>
    </w:p>
    <w:p w14:paraId="47793865">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方正仿宋_GBK" w:hAnsi="方正仿宋_GBK" w:eastAsia="方正仿宋_GBK" w:cs="方正仿宋_GBK"/>
          <w:color w:val="121212"/>
          <w:sz w:val="32"/>
          <w:szCs w:val="32"/>
          <w:lang w:val="en-US" w:eastAsia="zh-CN"/>
        </w:rPr>
      </w:pPr>
      <w:r>
        <w:rPr>
          <w:rFonts w:hint="eastAsia" w:ascii="方正楷体_GBK" w:hAnsi="方正楷体_GBK" w:eastAsia="方正楷体_GBK" w:cs="方正楷体_GBK"/>
          <w:color w:val="121212"/>
          <w:kern w:val="2"/>
          <w:sz w:val="32"/>
          <w:szCs w:val="32"/>
          <w:lang w:val="en-US" w:eastAsia="zh-CN" w:bidi="ar-SA"/>
        </w:rPr>
        <w:t>（一）强化政治站位，夯实组织支撑。</w:t>
      </w:r>
      <w:r>
        <w:rPr>
          <w:rFonts w:hint="eastAsia" w:ascii="方正仿宋_GBK" w:hAnsi="方正仿宋_GBK" w:eastAsia="方正仿宋_GBK" w:cs="方正仿宋_GBK"/>
          <w:color w:val="121212"/>
          <w:sz w:val="32"/>
          <w:szCs w:val="32"/>
          <w:lang w:val="en-US" w:eastAsia="zh-CN"/>
        </w:rPr>
        <w:t>坚持把法治建设置于重要位置，认真落实工作要求，及时调整充实全面依法治镇工作机构，制定出台法治建设工作要点，细化党政班子成员责任清单</w:t>
      </w:r>
      <w:r>
        <w:rPr>
          <w:rFonts w:hint="eastAsia" w:ascii="Times New Roman" w:hAnsi="Times New Roman" w:eastAsia="方正仿宋_GBK" w:cs="Times New Roman"/>
          <w:kern w:val="2"/>
          <w:sz w:val="32"/>
          <w:szCs w:val="32"/>
          <w:lang w:val="en-US" w:eastAsia="zh-CN" w:bidi="ar-SA"/>
        </w:rPr>
        <w:t>43</w:t>
      </w:r>
      <w:r>
        <w:rPr>
          <w:rFonts w:hint="eastAsia" w:ascii="方正仿宋_GBK" w:hAnsi="方正仿宋_GBK" w:eastAsia="方正仿宋_GBK" w:cs="方正仿宋_GBK"/>
          <w:color w:val="121212"/>
          <w:sz w:val="32"/>
          <w:szCs w:val="32"/>
          <w:lang w:val="en-US" w:eastAsia="zh-CN"/>
        </w:rPr>
        <w:t>条，每季度听取</w:t>
      </w:r>
      <w:r>
        <w:rPr>
          <w:rFonts w:hint="eastAsia" w:ascii="Times New Roman" w:hAnsi="Times New Roman" w:eastAsia="方正仿宋_GBK" w:cs="Times New Roman"/>
          <w:kern w:val="2"/>
          <w:sz w:val="32"/>
          <w:szCs w:val="32"/>
          <w:lang w:val="en-US" w:eastAsia="zh-CN" w:bidi="ar-SA"/>
        </w:rPr>
        <w:t>1</w:t>
      </w:r>
      <w:r>
        <w:rPr>
          <w:rFonts w:hint="eastAsia" w:ascii="方正仿宋_GBK" w:hAnsi="方正仿宋_GBK" w:eastAsia="方正仿宋_GBK" w:cs="方正仿宋_GBK"/>
          <w:color w:val="121212"/>
          <w:sz w:val="32"/>
          <w:szCs w:val="32"/>
          <w:lang w:val="en-US" w:eastAsia="zh-CN"/>
        </w:rPr>
        <w:t>次专题汇报。去年以来，主持召开专题会议</w:t>
      </w:r>
      <w:r>
        <w:rPr>
          <w:rFonts w:hint="eastAsia" w:ascii="Times New Roman" w:hAnsi="Times New Roman" w:eastAsia="方正仿宋_GBK" w:cs="Times New Roman"/>
          <w:kern w:val="2"/>
          <w:sz w:val="32"/>
          <w:szCs w:val="32"/>
          <w:lang w:val="en-US" w:eastAsia="zh-CN" w:bidi="ar-SA"/>
        </w:rPr>
        <w:t>3</w:t>
      </w:r>
      <w:r>
        <w:rPr>
          <w:rFonts w:hint="eastAsia" w:ascii="方正仿宋_GBK" w:hAnsi="方正仿宋_GBK" w:eastAsia="方正仿宋_GBK" w:cs="方正仿宋_GBK"/>
          <w:color w:val="121212"/>
          <w:sz w:val="32"/>
          <w:szCs w:val="32"/>
          <w:lang w:val="en-US" w:eastAsia="zh-CN"/>
        </w:rPr>
        <w:t>次，研究解决法治阵地建设、经费保障、学法普法、综合执法等问题事项</w:t>
      </w:r>
      <w:r>
        <w:rPr>
          <w:rFonts w:hint="eastAsia" w:ascii="Times New Roman" w:hAnsi="Times New Roman" w:eastAsia="方正仿宋_GBK" w:cs="Times New Roman"/>
          <w:kern w:val="2"/>
          <w:sz w:val="32"/>
          <w:szCs w:val="32"/>
          <w:lang w:val="en-US" w:eastAsia="zh-CN" w:bidi="ar-SA"/>
        </w:rPr>
        <w:t>9</w:t>
      </w:r>
      <w:r>
        <w:rPr>
          <w:rFonts w:hint="eastAsia" w:ascii="方正仿宋_GBK" w:hAnsi="方正仿宋_GBK" w:eastAsia="方正仿宋_GBK" w:cs="方正仿宋_GBK"/>
          <w:color w:val="121212"/>
          <w:sz w:val="32"/>
          <w:szCs w:val="32"/>
          <w:lang w:val="en-US" w:eastAsia="zh-CN"/>
        </w:rPr>
        <w:t>个。将法治宣传、依法行政、配合行政执法纳入部门、村（社区）年度综合考核，融入业务工作和日常社会治理。</w:t>
      </w:r>
    </w:p>
    <w:p w14:paraId="402FA5AA">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121212"/>
          <w:sz w:val="32"/>
          <w:szCs w:val="32"/>
          <w:lang w:val="en-US" w:eastAsia="zh-CN"/>
        </w:rPr>
      </w:pPr>
      <w:r>
        <w:rPr>
          <w:rFonts w:hint="eastAsia" w:ascii="方正楷体_GBK" w:hAnsi="方正楷体_GBK" w:eastAsia="方正楷体_GBK" w:cs="方正楷体_GBK"/>
          <w:color w:val="121212"/>
          <w:kern w:val="2"/>
          <w:sz w:val="32"/>
          <w:szCs w:val="32"/>
          <w:lang w:val="en-US" w:eastAsia="zh-CN" w:bidi="ar-SA"/>
        </w:rPr>
        <w:t>（二）强化宣传教育，提升法治意识。</w:t>
      </w:r>
      <w:r>
        <w:rPr>
          <w:rFonts w:hint="eastAsia" w:ascii="方正仿宋_GBK" w:hAnsi="方正仿宋_GBK" w:eastAsia="方正仿宋_GBK" w:cs="方正仿宋_GBK"/>
          <w:color w:val="121212"/>
          <w:sz w:val="32"/>
          <w:szCs w:val="32"/>
          <w:lang w:val="en-US" w:eastAsia="zh-CN"/>
        </w:rPr>
        <w:t>为落实重大决策和规范性文件合法性审查的有关规定，建立健全合法性审查制度体系，编制了合法性审查工作指南，制定了重大行政决策合法性审查工作流程、行政规范性文件合法性审核工作流程等相关程序，对适用范围、审查职责、工作程序、工作标准等做了详尽规定。成立了由镇党政办工作人员、司法所工作人员、法律顾问组成的合法性审查团队，积极发挥专业优势，对出台的政策文件、重大行政决策、重大行政执法决定等事务，从主体、权限、依据、内容等方面依法严格审查把关确保出台的各项决策部署依法科学有效。</w:t>
      </w:r>
    </w:p>
    <w:p w14:paraId="464E4358">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color w:val="121212"/>
          <w:kern w:val="2"/>
          <w:sz w:val="32"/>
          <w:szCs w:val="32"/>
          <w:lang w:val="en-US" w:eastAsia="zh-CN" w:bidi="ar-SA"/>
        </w:rPr>
        <w:t>（三）</w:t>
      </w:r>
      <w:r>
        <w:rPr>
          <w:rFonts w:hint="default" w:ascii="方正楷体_GBK" w:hAnsi="方正楷体_GBK" w:eastAsia="方正楷体_GBK" w:cs="方正楷体_GBK"/>
          <w:color w:val="121212"/>
          <w:kern w:val="2"/>
          <w:sz w:val="32"/>
          <w:szCs w:val="32"/>
          <w:lang w:val="en-US" w:eastAsia="zh-CN" w:bidi="ar-SA"/>
        </w:rPr>
        <w:t>强化综合治理，优化法治环境。</w:t>
      </w:r>
      <w:r>
        <w:rPr>
          <w:rFonts w:hint="eastAsia" w:ascii="方正仿宋_GBK" w:hAnsi="方正仿宋_GBK" w:eastAsia="方正仿宋_GBK" w:cs="方正仿宋_GBK"/>
          <w:color w:val="121212"/>
          <w:sz w:val="32"/>
          <w:szCs w:val="32"/>
          <w:lang w:val="en-US" w:eastAsia="zh-CN"/>
        </w:rPr>
        <w:t>引导企业经营主体深入了解法律法规，确定合规责任人，加强内部合规培训和指导，建立健全内部合规制度、审查风险投资制度，有效规避合规风险。积极与县司法局对接，邀请公职律师、社会律师及法官组成专业法律服务团，深入企业开展送法进企业，对企业法律风险进行全面评估，帮助企业查找、梳理经营管理中存在的各类法律风险，从专业角度提出法律意见建议，引导企业合法合规经营。持续优化非诉服务质效，为民营企业提供优质的商事调解服务，切实为涉诉企业提供便利，保证企业能够稳定、长远地在金湖落地生根。</w:t>
      </w:r>
    </w:p>
    <w:p w14:paraId="3F3B6DA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firstLine="640" w:firstLineChars="200"/>
        <w:textAlignment w:val="auto"/>
        <w:rPr>
          <w:rFonts w:hint="eastAsia" w:ascii="方正黑体_GBK" w:hAnsi="方正黑体_GBK" w:eastAsia="方正黑体_GBK" w:cs="方正黑体_GBK"/>
          <w:color w:val="121212"/>
          <w:kern w:val="2"/>
          <w:sz w:val="32"/>
          <w:szCs w:val="32"/>
          <w:lang w:val="en-US" w:eastAsia="zh-CN" w:bidi="ar-SA"/>
        </w:rPr>
      </w:pPr>
      <w:r>
        <w:rPr>
          <w:rFonts w:hint="eastAsia" w:ascii="方正黑体_GBK" w:hAnsi="方正黑体_GBK" w:eastAsia="方正黑体_GBK" w:cs="方正黑体_GBK"/>
          <w:color w:val="121212"/>
          <w:kern w:val="2"/>
          <w:sz w:val="32"/>
          <w:szCs w:val="32"/>
          <w:lang w:val="en-US" w:eastAsia="zh-CN" w:bidi="ar-SA"/>
        </w:rPr>
        <w:t>三、</w:t>
      </w:r>
      <w:r>
        <w:rPr>
          <w:rFonts w:hint="eastAsia" w:ascii="Times New Roman" w:hAnsi="Times New Roman" w:eastAsia="方正仿宋_GBK" w:cs="Times New Roman"/>
          <w:kern w:val="2"/>
          <w:sz w:val="32"/>
          <w:szCs w:val="32"/>
          <w:lang w:val="en-US" w:eastAsia="zh-CN" w:bidi="ar-SA"/>
        </w:rPr>
        <w:t>2024</w:t>
      </w:r>
      <w:r>
        <w:rPr>
          <w:rFonts w:hint="eastAsia" w:ascii="方正黑体_GBK" w:hAnsi="方正黑体_GBK" w:eastAsia="方正黑体_GBK" w:cs="方正黑体_GBK"/>
          <w:color w:val="121212"/>
          <w:kern w:val="2"/>
          <w:sz w:val="32"/>
          <w:szCs w:val="32"/>
          <w:lang w:val="en-US" w:eastAsia="zh-CN" w:bidi="ar-SA"/>
        </w:rPr>
        <w:t>年度推进法治政府建设存在的不足和原因</w:t>
      </w:r>
    </w:p>
    <w:p w14:paraId="3F111B1A">
      <w:pPr>
        <w:keepNext w:val="0"/>
        <w:keepLines w:val="0"/>
        <w:pageBreakBefore w:val="0"/>
        <w:kinsoku/>
        <w:wordWrap/>
        <w:overflowPunct/>
        <w:topLinePunct w:val="0"/>
        <w:autoSpaceDE/>
        <w:autoSpaceDN/>
        <w:bidi w:val="0"/>
        <w:spacing w:line="560" w:lineRule="atLeast"/>
        <w:ind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方正楷体_GBK" w:hAnsi="方正楷体_GBK" w:eastAsia="方正楷体_GBK" w:cs="方正楷体_GBK"/>
          <w:color w:val="121212"/>
          <w:kern w:val="2"/>
          <w:sz w:val="32"/>
          <w:szCs w:val="32"/>
          <w:lang w:val="en-US" w:eastAsia="zh-CN" w:bidi="ar-SA"/>
        </w:rPr>
        <w:t>（一）法治素养不高。</w:t>
      </w:r>
      <w:r>
        <w:rPr>
          <w:rFonts w:hint="eastAsia" w:ascii="方正仿宋_GBK" w:hAnsi="方正仿宋_GBK" w:eastAsia="方正仿宋_GBK" w:cs="方正仿宋_GBK"/>
          <w:color w:val="121212"/>
          <w:sz w:val="32"/>
          <w:szCs w:val="32"/>
          <w:lang w:val="en-US" w:eastAsia="zh-CN"/>
        </w:rPr>
        <w:t>少数同志法治意识不强，习惯用老办法解决新问题，缺乏办事依法、遇事找法的思想自觉和行动自觉。部分村和部门行政决策不规范、信息公开不及时、“三资”管理不严格等现象仍有表现。</w:t>
      </w:r>
    </w:p>
    <w:p w14:paraId="327CF68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楷体_GBK" w:hAnsi="方正楷体_GBK" w:eastAsia="方正楷体_GBK" w:cs="方正楷体_GBK"/>
          <w:color w:val="121212"/>
          <w:kern w:val="2"/>
          <w:sz w:val="32"/>
          <w:szCs w:val="32"/>
          <w:lang w:val="en-US" w:eastAsia="zh-CN" w:bidi="ar-SA"/>
        </w:rPr>
        <w:t>（二）以法治手段化解矛盾纠纷的能力不足。</w:t>
      </w:r>
      <w:r>
        <w:rPr>
          <w:rFonts w:hint="eastAsia" w:ascii="方正仿宋_GBK" w:hAnsi="方正仿宋_GBK" w:eastAsia="方正仿宋_GBK" w:cs="方正仿宋_GBK"/>
          <w:color w:val="000000"/>
          <w:kern w:val="2"/>
          <w:sz w:val="32"/>
          <w:szCs w:val="32"/>
          <w:lang w:val="en-US" w:eastAsia="zh-CN" w:bidi="ar-SA"/>
        </w:rPr>
        <w:t>少数部门和村居在处理矛盾纠纷中，习惯用“人情”来敷衍，缺少责任意识、法治意识。同时在处理问题上依然遵循“和稀泥”原则，没有切实维护群众利益。</w:t>
      </w:r>
    </w:p>
    <w:p w14:paraId="7E29479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firstLine="640" w:firstLineChars="200"/>
        <w:textAlignment w:val="auto"/>
        <w:rPr>
          <w:rFonts w:hint="eastAsia" w:ascii="方正黑体_GBK" w:hAnsi="方正黑体_GBK" w:eastAsia="方正黑体_GBK" w:cs="方正黑体_GBK"/>
          <w:color w:val="121212"/>
          <w:kern w:val="2"/>
          <w:sz w:val="32"/>
          <w:szCs w:val="32"/>
          <w:lang w:val="en-US" w:eastAsia="zh-CN" w:bidi="ar-SA"/>
        </w:rPr>
      </w:pPr>
      <w:r>
        <w:rPr>
          <w:rFonts w:hint="eastAsia" w:ascii="方正黑体_GBK" w:hAnsi="方正黑体_GBK" w:eastAsia="方正黑体_GBK" w:cs="方正黑体_GBK"/>
          <w:color w:val="121212"/>
          <w:kern w:val="2"/>
          <w:sz w:val="32"/>
          <w:szCs w:val="32"/>
          <w:lang w:val="en-US" w:eastAsia="zh-CN" w:bidi="ar-SA"/>
        </w:rPr>
        <w:t>四、</w:t>
      </w:r>
      <w:r>
        <w:rPr>
          <w:rFonts w:hint="eastAsia" w:ascii="Times New Roman" w:hAnsi="Times New Roman" w:eastAsia="方正仿宋_GBK" w:cs="Times New Roman"/>
          <w:kern w:val="2"/>
          <w:sz w:val="32"/>
          <w:szCs w:val="32"/>
          <w:lang w:val="en-US" w:eastAsia="zh-CN" w:bidi="ar-SA"/>
        </w:rPr>
        <w:t>2025</w:t>
      </w:r>
      <w:r>
        <w:rPr>
          <w:rFonts w:hint="eastAsia" w:ascii="方正黑体_GBK" w:hAnsi="方正黑体_GBK" w:eastAsia="方正黑体_GBK" w:cs="方正黑体_GBK"/>
          <w:color w:val="121212"/>
          <w:kern w:val="2"/>
          <w:sz w:val="32"/>
          <w:szCs w:val="32"/>
          <w:lang w:val="en-US" w:eastAsia="zh-CN" w:bidi="ar-SA"/>
        </w:rPr>
        <w:t>年度推进法治政府建设的主要安排</w:t>
      </w:r>
    </w:p>
    <w:p w14:paraId="587B8BC8">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b/>
          <w:bCs/>
          <w:color w:val="121212"/>
          <w:kern w:val="2"/>
          <w:sz w:val="32"/>
          <w:szCs w:val="32"/>
          <w:lang w:val="en-US" w:eastAsia="zh-CN" w:bidi="ar-SA"/>
        </w:rPr>
        <w:t>一是进一步提高站位。</w:t>
      </w:r>
      <w:r>
        <w:rPr>
          <w:rFonts w:hint="eastAsia" w:ascii="方正仿宋_GBK" w:hAnsi="方正仿宋_GBK" w:eastAsia="方正仿宋_GBK" w:cs="方正仿宋_GBK"/>
          <w:color w:val="000000"/>
          <w:kern w:val="2"/>
          <w:sz w:val="32"/>
          <w:szCs w:val="32"/>
          <w:lang w:val="en-US" w:eastAsia="zh-CN" w:bidi="ar-SA"/>
        </w:rPr>
        <w:t>压紧压实法治建设主体责任和第一责任，加强全面依法治镇工作统筹，完善依法行政制度规章，把依法办事、依规履职作为最高原则，强化内部制约和外部监督，严处不合法、不合规行为，全力提升法治建设水平。</w:t>
      </w:r>
    </w:p>
    <w:p w14:paraId="5C122CC2">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b/>
          <w:bCs/>
          <w:color w:val="121212"/>
          <w:kern w:val="2"/>
          <w:sz w:val="32"/>
          <w:szCs w:val="32"/>
          <w:lang w:val="en-US" w:eastAsia="zh-CN" w:bidi="ar-SA"/>
        </w:rPr>
        <w:t>二是进一步强化宣传。</w:t>
      </w:r>
      <w:r>
        <w:rPr>
          <w:rFonts w:hint="eastAsia" w:ascii="方正仿宋_GBK" w:hAnsi="方正仿宋_GBK" w:eastAsia="方正仿宋_GBK" w:cs="方正仿宋_GBK"/>
          <w:color w:val="000000"/>
          <w:kern w:val="2"/>
          <w:sz w:val="32"/>
          <w:szCs w:val="32"/>
          <w:lang w:val="en-US" w:eastAsia="zh-CN" w:bidi="ar-SA"/>
        </w:rPr>
        <w:t>深入实施“八五”普法，完善法治宣传教育计划，坚持班子成员定期学法制度，深化法治宣传“六进”活动，强化对重点对象普法教育，将法治宣传融入党政会议、“三会一课”和网格化治理，推动法治宣传教育常态化、制度化。</w:t>
      </w:r>
    </w:p>
    <w:p w14:paraId="3AF1516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firstLine="643"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b/>
          <w:bCs/>
          <w:color w:val="121212"/>
          <w:kern w:val="2"/>
          <w:sz w:val="32"/>
          <w:szCs w:val="32"/>
          <w:lang w:val="en-US" w:eastAsia="zh-CN" w:bidi="ar-SA"/>
        </w:rPr>
        <w:t>三是进一步依法行政。</w:t>
      </w:r>
      <w:r>
        <w:rPr>
          <w:rFonts w:hint="eastAsia" w:ascii="方正仿宋_GBK" w:hAnsi="方正仿宋_GBK" w:eastAsia="方正仿宋_GBK" w:cs="方正仿宋_GBK"/>
          <w:color w:val="000000"/>
          <w:kern w:val="2"/>
          <w:sz w:val="32"/>
          <w:szCs w:val="32"/>
          <w:lang w:val="en-US" w:eastAsia="zh-CN" w:bidi="ar-SA"/>
        </w:rPr>
        <w:t>持续强化法治政府建设，自觉把依法决策、依法管理、依法用权落实到工作的方方面面，坚持用法治的思维、法治的方法解决发展、稳定中的各种问题，为推动各项事业攀高比强、跨越赶超营造良好的法治环境。</w:t>
      </w:r>
    </w:p>
    <w:p w14:paraId="01F331D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firstLine="640" w:firstLineChars="200"/>
        <w:textAlignment w:val="auto"/>
        <w:rPr>
          <w:rFonts w:hint="eastAsia" w:ascii="Times New Roman" w:hAnsi="Times New Roman" w:eastAsia="仿宋_GB2312" w:cs="Times New Roman"/>
          <w:color w:val="000000"/>
          <w:kern w:val="2"/>
          <w:sz w:val="32"/>
          <w:szCs w:val="32"/>
          <w:lang w:val="en-US" w:eastAsia="zh-CN" w:bidi="ar-SA"/>
        </w:rPr>
      </w:pPr>
    </w:p>
    <w:p w14:paraId="6DA4DE1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firstLine="2880" w:firstLineChars="900"/>
        <w:textAlignment w:val="auto"/>
        <w:rPr>
          <w:rFonts w:hint="eastAsia" w:ascii="Times New Roman" w:hAnsi="Times New Roman" w:eastAsia="仿宋_GB2312" w:cs="Times New Roman"/>
          <w:color w:val="000000"/>
          <w:kern w:val="2"/>
          <w:sz w:val="32"/>
          <w:szCs w:val="32"/>
          <w:lang w:val="en-US" w:eastAsia="zh-CN" w:bidi="ar-SA"/>
        </w:rPr>
      </w:pPr>
    </w:p>
    <w:p w14:paraId="7770C95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firstLine="2880" w:firstLineChars="900"/>
        <w:textAlignment w:val="auto"/>
        <w:rPr>
          <w:rFonts w:hint="eastAsia" w:ascii="Times New Roman" w:hAnsi="Times New Roman" w:eastAsia="仿宋_GB2312" w:cs="Times New Roman"/>
          <w:color w:val="000000"/>
          <w:kern w:val="2"/>
          <w:sz w:val="32"/>
          <w:szCs w:val="32"/>
          <w:lang w:val="en-US" w:eastAsia="zh-CN" w:bidi="ar-SA"/>
        </w:rPr>
      </w:pPr>
    </w:p>
    <w:p w14:paraId="04CEDF7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firstLine="5760" w:firstLineChars="18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中共前锋镇委员会       </w:t>
      </w:r>
    </w:p>
    <w:p w14:paraId="264091F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firstLine="5760" w:firstLineChars="18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前锋镇人民政府</w:t>
      </w:r>
    </w:p>
    <w:p w14:paraId="5B50D8E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firstLine="2880" w:firstLineChars="900"/>
        <w:textAlignment w:val="auto"/>
        <w:rPr>
          <w:rFonts w:hint="eastAsia" w:ascii="Times New Roman" w:hAnsi="Times New Roman" w:eastAsia="仿宋_GB2312" w:cs="Times New Roman"/>
          <w:color w:val="000000"/>
          <w:kern w:val="2"/>
          <w:sz w:val="32"/>
          <w:szCs w:val="32"/>
          <w:lang w:val="en-US" w:eastAsia="zh-CN" w:bidi="ar-SA"/>
        </w:rPr>
      </w:pPr>
    </w:p>
    <w:p w14:paraId="6335B69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firstLine="5760" w:firstLineChars="1800"/>
        <w:textAlignment w:val="auto"/>
        <w:rPr>
          <w:rFonts w:hint="eastAsia" w:ascii="Times New Roman" w:hAnsi="Times New Roman" w:eastAsia="仿宋_GB2312" w:cs="Times New Roman"/>
          <w:color w:val="000000"/>
          <w:kern w:val="2"/>
          <w:sz w:val="32"/>
          <w:szCs w:val="32"/>
          <w:lang w:val="en-US" w:eastAsia="zh-CN" w:bidi="ar-SA"/>
        </w:rPr>
      </w:pPr>
    </w:p>
    <w:p w14:paraId="2638F34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firstLine="5760" w:firstLineChars="1800"/>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2025年2月10日</w:t>
      </w:r>
    </w:p>
    <w:p w14:paraId="1B1BA51F">
      <w:pPr>
        <w:pStyle w:val="4"/>
        <w:rPr>
          <w:rFonts w:hint="eastAsia" w:ascii="Times New Roman" w:hAnsi="Times New Roman" w:eastAsia="仿宋_GB2312" w:cs="Times New Roman"/>
          <w:color w:val="000000"/>
          <w:kern w:val="2"/>
          <w:sz w:val="32"/>
          <w:szCs w:val="32"/>
          <w:lang w:val="en-US" w:eastAsia="zh-CN" w:bidi="ar-SA"/>
        </w:rPr>
      </w:pPr>
    </w:p>
    <w:sectPr>
      <w:footerReference r:id="rId3" w:type="default"/>
      <w:pgSz w:w="11906" w:h="16838"/>
      <w:pgMar w:top="1587" w:right="1474" w:bottom="141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script"/>
    <w:pitch w:val="default"/>
    <w:sig w:usb0="00000001" w:usb1="080E0000" w:usb2="00000000" w:usb3="00000000" w:csb0="00040000" w:csb1="00000000"/>
    <w:embedRegular r:id="rId1" w:fontKey="{6C0591F2-71CE-4932-948C-B732525C5228}"/>
  </w:font>
  <w:font w:name="方正小标宋_GBK">
    <w:panose1 w:val="02000000000000000000"/>
    <w:charset w:val="86"/>
    <w:family w:val="auto"/>
    <w:pitch w:val="default"/>
    <w:sig w:usb0="00000001" w:usb1="080E0000" w:usb2="00000000" w:usb3="00000000" w:csb0="00040000" w:csb1="00000000"/>
    <w:embedRegular r:id="rId2" w:fontKey="{CFB18EDE-FF02-4458-B37C-C9B1251E8E80}"/>
  </w:font>
  <w:font w:name="方正黑体_GBK">
    <w:panose1 w:val="03000509000000000000"/>
    <w:charset w:val="86"/>
    <w:family w:val="auto"/>
    <w:pitch w:val="default"/>
    <w:sig w:usb0="00000001" w:usb1="080E0000" w:usb2="00000000" w:usb3="00000000" w:csb0="00040000" w:csb1="00000000"/>
    <w:embedRegular r:id="rId3" w:fontKey="{2F2B6496-080A-4983-81AA-FB8983A7D717}"/>
  </w:font>
  <w:font w:name="仿宋_GB2312">
    <w:altName w:val="仿宋"/>
    <w:panose1 w:val="02010609030101010101"/>
    <w:charset w:val="86"/>
    <w:family w:val="auto"/>
    <w:pitch w:val="default"/>
    <w:sig w:usb0="00000000" w:usb1="00000000" w:usb2="00000000" w:usb3="00000000" w:csb0="00040000" w:csb1="00000000"/>
    <w:embedRegular r:id="rId4" w:fontKey="{50C83FD5-D6CB-42EE-8FD6-84EE8E326B5A}"/>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00000001" w:usb1="080E0000" w:usb2="00000000" w:usb3="00000000" w:csb0="00040000" w:csb1="00000000"/>
    <w:embedRegular r:id="rId5" w:fontKey="{890948F2-C444-427A-8779-0A8BD82D2A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2BA8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F56B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DF56B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F6AE5"/>
    <w:rsid w:val="05C11AE4"/>
    <w:rsid w:val="10E741A0"/>
    <w:rsid w:val="1AC27D9C"/>
    <w:rsid w:val="1BDE50BF"/>
    <w:rsid w:val="22C9214C"/>
    <w:rsid w:val="26477C21"/>
    <w:rsid w:val="26B83AD1"/>
    <w:rsid w:val="2706077D"/>
    <w:rsid w:val="36711FCD"/>
    <w:rsid w:val="3D302969"/>
    <w:rsid w:val="4DA56BE5"/>
    <w:rsid w:val="527673F7"/>
    <w:rsid w:val="52F3044F"/>
    <w:rsid w:val="5BB406F0"/>
    <w:rsid w:val="5FFBECC7"/>
    <w:rsid w:val="6AB341FA"/>
    <w:rsid w:val="732433A9"/>
    <w:rsid w:val="7A443D69"/>
    <w:rsid w:val="7C923548"/>
    <w:rsid w:val="7E514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方正仿宋_GBK"/>
      <w:b/>
      <w:bCs/>
      <w:kern w:val="0"/>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99"/>
    <w:rPr>
      <w:rFonts w:ascii="Times New Roman" w:hAnsi="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0"/>
    <w:pPr>
      <w:spacing w:before="240" w:after="60"/>
      <w:jc w:val="center"/>
      <w:outlineLvl w:val="0"/>
    </w:pPr>
    <w:rPr>
      <w:rFonts w:ascii="Cambria" w:hAnsi="Cambria" w:cs="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2676</Words>
  <Characters>2699</Characters>
  <Lines>0</Lines>
  <Paragraphs>0</Paragraphs>
  <TotalTime>2511</TotalTime>
  <ScaleCrop>false</ScaleCrop>
  <LinksUpToDate>false</LinksUpToDate>
  <CharactersWithSpaces>2707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2024-12-04T14:51:00Z</dcterms:created>
  <dc:creator>dell</dc:creator>
  <cp:lastModifiedBy>梦开始的地方</cp:lastModifiedBy>
  <cp:lastPrinted>2025-02-14T07:24:00Z</cp:lastPrinted>
  <dcterms:modified xsi:type="dcterms:W3CDTF">2025-02-19T09:31:33Z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E88FB09B90D544EB920B5EA4F7A4A146_13</vt:lpwstr>
  </property>
  <property fmtid="{D5CDD505-2E9C-101B-9397-08002B2CF9AE}" pid="4" name="KSOTemplateDocerSaveRecord">
    <vt:lpwstr>eyJoZGlkIjoiYTY5Y2ZhMjY1ODU5ODZhZjgxOTI2YjgwMzI2OTQyNGIiLCJ1c2VySWQiOiIxMTA0NTM5MjgwIn0=</vt:lpwstr>
  </property>
</Properties>
</file>