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27B997">
      <w:pPr>
        <w:spacing w:line="560" w:lineRule="exact"/>
        <w:jc w:val="center"/>
        <w:rPr>
          <w:rFonts w:ascii="宋体" w:hAnsi="宋体" w:eastAsia="宋体" w:cs="宋体"/>
          <w:sz w:val="44"/>
          <w:szCs w:val="44"/>
        </w:rPr>
      </w:pPr>
    </w:p>
    <w:p w14:paraId="21B12FC0">
      <w:pPr>
        <w:spacing w:line="600" w:lineRule="exact"/>
        <w:jc w:val="center"/>
        <w:rPr>
          <w:rFonts w:ascii="宋体" w:hAnsi="宋体" w:eastAsia="宋体" w:cs="宋体"/>
          <w:b/>
          <w:bCs/>
          <w:sz w:val="44"/>
          <w:szCs w:val="44"/>
        </w:rPr>
      </w:pPr>
      <w:r>
        <w:rPr>
          <w:rFonts w:hint="eastAsia" w:ascii="宋体" w:hAnsi="宋体" w:eastAsia="宋体" w:cs="宋体"/>
          <w:b/>
          <w:bCs/>
          <w:sz w:val="44"/>
          <w:szCs w:val="44"/>
        </w:rPr>
        <w:t>高新企业孵化产业园片区</w:t>
      </w:r>
    </w:p>
    <w:p w14:paraId="76C4F50A">
      <w:pPr>
        <w:spacing w:line="600" w:lineRule="exact"/>
        <w:jc w:val="center"/>
        <w:rPr>
          <w:rFonts w:ascii="宋体" w:hAnsi="宋体" w:eastAsia="宋体" w:cs="宋体"/>
          <w:b/>
          <w:bCs/>
          <w:sz w:val="44"/>
          <w:szCs w:val="44"/>
        </w:rPr>
      </w:pPr>
      <w:r>
        <w:rPr>
          <w:rFonts w:hint="eastAsia" w:ascii="宋体" w:hAnsi="宋体" w:eastAsia="宋体" w:cs="宋体"/>
          <w:b/>
          <w:bCs/>
          <w:sz w:val="44"/>
          <w:szCs w:val="44"/>
        </w:rPr>
        <w:t>（</w:t>
      </w:r>
      <w:r>
        <w:rPr>
          <w:rFonts w:ascii="宋体" w:hAnsi="宋体" w:eastAsia="宋体" w:cs="宋体"/>
          <w:b/>
          <w:bCs/>
          <w:sz w:val="44"/>
          <w:szCs w:val="44"/>
        </w:rPr>
        <w:t>CP320831-2021-01-06）</w:t>
      </w:r>
    </w:p>
    <w:p w14:paraId="3C1B6C8F">
      <w:pPr>
        <w:spacing w:line="600" w:lineRule="exact"/>
        <w:jc w:val="center"/>
        <w:rPr>
          <w:rFonts w:ascii="楷体" w:hAnsi="楷体" w:eastAsia="楷体" w:cs="Times New Roman"/>
          <w:b/>
          <w:bCs/>
          <w:sz w:val="44"/>
          <w:szCs w:val="44"/>
        </w:rPr>
      </w:pPr>
      <w:r>
        <w:rPr>
          <w:rFonts w:hint="eastAsia" w:ascii="宋体" w:hAnsi="宋体" w:eastAsia="宋体" w:cs="宋体"/>
          <w:b/>
          <w:bCs/>
          <w:sz w:val="44"/>
          <w:szCs w:val="44"/>
        </w:rPr>
        <w:t>土地征收成片开发调整方案</w:t>
      </w:r>
    </w:p>
    <w:p w14:paraId="3E891647">
      <w:pPr>
        <w:spacing w:line="600" w:lineRule="exact"/>
        <w:jc w:val="center"/>
        <w:rPr>
          <w:rFonts w:ascii="楷体" w:hAnsi="楷体" w:eastAsia="楷体" w:cs="Times New Roman"/>
          <w:sz w:val="28"/>
        </w:rPr>
      </w:pPr>
      <w:r>
        <w:rPr>
          <w:rFonts w:ascii="楷体" w:hAnsi="楷体" w:eastAsia="楷体" w:cs="Times New Roman"/>
          <w:sz w:val="32"/>
          <w:szCs w:val="32"/>
        </w:rPr>
        <w:t>（</w:t>
      </w:r>
      <w:r>
        <w:rPr>
          <w:rFonts w:hint="eastAsia" w:ascii="楷体" w:hAnsi="楷体" w:eastAsia="楷体" w:cs="宋体"/>
          <w:sz w:val="32"/>
          <w:szCs w:val="32"/>
        </w:rPr>
        <w:t>征求意见稿</w:t>
      </w:r>
      <w:r>
        <w:rPr>
          <w:rFonts w:ascii="楷体" w:hAnsi="楷体" w:eastAsia="楷体" w:cs="Times New Roman"/>
          <w:sz w:val="32"/>
          <w:szCs w:val="32"/>
        </w:rPr>
        <w:t>）</w:t>
      </w:r>
    </w:p>
    <w:p w14:paraId="5DC82DF2">
      <w:pPr>
        <w:spacing w:line="600" w:lineRule="exact"/>
        <w:ind w:firstLine="640" w:firstLineChars="200"/>
        <w:rPr>
          <w:rFonts w:ascii="黑体" w:hAnsi="黑体" w:eastAsia="黑体" w:cs="Times New Roman"/>
          <w:sz w:val="32"/>
          <w:szCs w:val="32"/>
        </w:rPr>
      </w:pPr>
    </w:p>
    <w:p w14:paraId="29D6739C">
      <w:pPr>
        <w:spacing w:line="600" w:lineRule="exact"/>
        <w:ind w:firstLine="640" w:firstLineChars="200"/>
        <w:rPr>
          <w:rFonts w:ascii="黑体" w:hAnsi="黑体" w:eastAsia="黑体" w:cs="Times New Roman"/>
          <w:sz w:val="32"/>
          <w:szCs w:val="32"/>
        </w:rPr>
      </w:pPr>
      <w:r>
        <w:rPr>
          <w:rFonts w:ascii="黑体" w:hAnsi="黑体" w:eastAsia="黑体" w:cs="Times New Roman"/>
          <w:sz w:val="32"/>
          <w:szCs w:val="32"/>
        </w:rPr>
        <w:t>一、编制依据</w:t>
      </w:r>
    </w:p>
    <w:p w14:paraId="231DEC3C">
      <w:pPr>
        <w:spacing w:line="600" w:lineRule="exact"/>
        <w:ind w:firstLine="640" w:firstLineChars="200"/>
        <w:jc w:val="left"/>
        <w:rPr>
          <w:rFonts w:ascii="仿宋" w:hAnsi="仿宋" w:eastAsia="仿宋" w:cs="Times New Roman"/>
          <w:sz w:val="32"/>
          <w:szCs w:val="32"/>
        </w:rPr>
      </w:pPr>
      <w:r>
        <w:rPr>
          <w:rFonts w:ascii="仿宋" w:hAnsi="仿宋" w:eastAsia="仿宋" w:cs="Times New Roman"/>
          <w:sz w:val="32"/>
          <w:szCs w:val="32"/>
        </w:rPr>
        <w:t>1</w:t>
      </w:r>
      <w:r>
        <w:rPr>
          <w:rFonts w:hint="eastAsia" w:ascii="仿宋" w:hAnsi="仿宋" w:eastAsia="仿宋" w:cs="Times New Roman"/>
          <w:sz w:val="32"/>
          <w:szCs w:val="32"/>
        </w:rPr>
        <w:t>.</w:t>
      </w:r>
      <w:r>
        <w:rPr>
          <w:rFonts w:ascii="仿宋" w:hAnsi="仿宋" w:eastAsia="仿宋" w:cs="Times New Roman"/>
          <w:sz w:val="32"/>
          <w:szCs w:val="32"/>
        </w:rPr>
        <w:t>《中华人民共和国土地管理法》（2019修正版</w:t>
      </w:r>
      <w:r>
        <w:rPr>
          <w:rFonts w:hint="eastAsia" w:ascii="仿宋" w:hAnsi="仿宋" w:eastAsia="仿宋" w:cs="Times New Roman"/>
          <w:sz w:val="32"/>
          <w:szCs w:val="32"/>
        </w:rPr>
        <w:t>）；</w:t>
      </w:r>
    </w:p>
    <w:p w14:paraId="4DFC74FD">
      <w:pPr>
        <w:spacing w:line="600" w:lineRule="exact"/>
        <w:ind w:firstLine="640" w:firstLineChars="200"/>
        <w:jc w:val="left"/>
        <w:rPr>
          <w:rFonts w:ascii="仿宋" w:hAnsi="仿宋" w:eastAsia="仿宋" w:cs="Times New Roman"/>
          <w:sz w:val="32"/>
          <w:szCs w:val="32"/>
        </w:rPr>
      </w:pPr>
      <w:r>
        <w:rPr>
          <w:rFonts w:ascii="仿宋" w:hAnsi="仿宋" w:eastAsia="仿宋" w:cs="Times New Roman"/>
          <w:sz w:val="32"/>
          <w:szCs w:val="32"/>
        </w:rPr>
        <w:t>2</w:t>
      </w:r>
      <w:r>
        <w:rPr>
          <w:rFonts w:hint="eastAsia" w:ascii="仿宋" w:hAnsi="仿宋" w:eastAsia="仿宋" w:cs="Times New Roman"/>
          <w:sz w:val="32"/>
          <w:szCs w:val="32"/>
        </w:rPr>
        <w:t>.</w:t>
      </w:r>
      <w:r>
        <w:rPr>
          <w:rFonts w:ascii="仿宋" w:hAnsi="仿宋" w:eastAsia="仿宋" w:cs="Times New Roman"/>
          <w:sz w:val="32"/>
          <w:szCs w:val="32"/>
        </w:rPr>
        <w:t>《自然资源部关于印发</w:t>
      </w:r>
      <w:r>
        <w:rPr>
          <w:rFonts w:hint="eastAsia" w:ascii="仿宋" w:hAnsi="仿宋" w:eastAsia="仿宋" w:cs="Times New Roman"/>
          <w:sz w:val="32"/>
          <w:szCs w:val="32"/>
        </w:rPr>
        <w:t>〈</w:t>
      </w:r>
      <w:r>
        <w:rPr>
          <w:rFonts w:ascii="仿宋" w:hAnsi="仿宋" w:eastAsia="仿宋" w:cs="Times New Roman"/>
          <w:sz w:val="32"/>
          <w:szCs w:val="32"/>
        </w:rPr>
        <w:t>土地征收成片开发标准〉的通知》</w:t>
      </w:r>
      <w:r>
        <w:rPr>
          <w:rFonts w:hint="eastAsia" w:ascii="仿宋" w:hAnsi="仿宋" w:eastAsia="仿宋" w:cs="Times New Roman"/>
          <w:sz w:val="32"/>
          <w:szCs w:val="32"/>
        </w:rPr>
        <w:t>（自然资规〔</w:t>
      </w:r>
      <w:r>
        <w:rPr>
          <w:rFonts w:ascii="仿宋" w:hAnsi="仿宋" w:eastAsia="仿宋" w:cs="Times New Roman"/>
          <w:sz w:val="32"/>
          <w:szCs w:val="32"/>
        </w:rPr>
        <w:t>2023〕7号）</w:t>
      </w:r>
      <w:r>
        <w:rPr>
          <w:rFonts w:hint="eastAsia" w:ascii="仿宋" w:hAnsi="仿宋" w:eastAsia="仿宋" w:cs="Times New Roman"/>
          <w:sz w:val="32"/>
          <w:szCs w:val="32"/>
        </w:rPr>
        <w:t>；</w:t>
      </w:r>
    </w:p>
    <w:p w14:paraId="6920FAC7">
      <w:pPr>
        <w:spacing w:line="600" w:lineRule="exact"/>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3.《</w:t>
      </w:r>
      <w:r>
        <w:rPr>
          <w:rFonts w:ascii="仿宋" w:hAnsi="仿宋" w:eastAsia="仿宋" w:cs="Times New Roman"/>
          <w:sz w:val="32"/>
          <w:szCs w:val="32"/>
        </w:rPr>
        <w:t>省政府关于印发江苏省被征地农民社会保障办法的通知》（苏政发〔2021〕87号）</w:t>
      </w:r>
      <w:r>
        <w:rPr>
          <w:rFonts w:hint="eastAsia" w:ascii="仿宋" w:hAnsi="仿宋" w:eastAsia="仿宋" w:cs="Times New Roman"/>
          <w:sz w:val="32"/>
          <w:szCs w:val="32"/>
        </w:rPr>
        <w:t>；</w:t>
      </w:r>
    </w:p>
    <w:p w14:paraId="3DE052DA">
      <w:pPr>
        <w:spacing w:line="600" w:lineRule="exact"/>
        <w:ind w:firstLine="640" w:firstLineChars="200"/>
        <w:jc w:val="left"/>
        <w:rPr>
          <w:rFonts w:ascii="仿宋" w:hAnsi="仿宋" w:eastAsia="仿宋" w:cs="Times New Roman"/>
          <w:sz w:val="32"/>
          <w:szCs w:val="32"/>
        </w:rPr>
      </w:pPr>
      <w:r>
        <w:rPr>
          <w:rFonts w:hint="eastAsia" w:ascii="仿宋" w:hAnsi="仿宋" w:eastAsia="仿宋" w:cs="Times New Roman"/>
          <w:sz w:val="32"/>
          <w:szCs w:val="32"/>
          <w:lang w:val="en-US" w:eastAsia="zh-CN"/>
        </w:rPr>
        <w:t>4</w:t>
      </w:r>
      <w:r>
        <w:rPr>
          <w:rFonts w:hint="eastAsia" w:ascii="仿宋" w:hAnsi="仿宋" w:eastAsia="仿宋" w:cs="Times New Roman"/>
          <w:sz w:val="32"/>
          <w:szCs w:val="32"/>
        </w:rPr>
        <w:t>.</w:t>
      </w:r>
      <w:r>
        <w:rPr>
          <w:rFonts w:ascii="仿宋" w:hAnsi="仿宋" w:eastAsia="仿宋" w:cs="Times New Roman"/>
          <w:sz w:val="32"/>
          <w:szCs w:val="32"/>
        </w:rPr>
        <w:t>《江苏省自然资源厅关于开展土地征收成片开发方案编制工作</w:t>
      </w:r>
      <w:r>
        <w:rPr>
          <w:rFonts w:hint="eastAsia" w:ascii="仿宋" w:hAnsi="仿宋" w:eastAsia="仿宋" w:cs="Times New Roman"/>
          <w:sz w:val="32"/>
          <w:szCs w:val="32"/>
        </w:rPr>
        <w:t>的通知》（苏自然资函〔</w:t>
      </w:r>
      <w:r>
        <w:rPr>
          <w:rFonts w:ascii="仿宋" w:hAnsi="仿宋" w:eastAsia="仿宋" w:cs="Times New Roman"/>
          <w:sz w:val="32"/>
          <w:szCs w:val="32"/>
        </w:rPr>
        <w:t>2021〕15号）</w:t>
      </w:r>
      <w:r>
        <w:rPr>
          <w:rFonts w:hint="eastAsia" w:ascii="仿宋" w:hAnsi="仿宋" w:eastAsia="仿宋" w:cs="Times New Roman"/>
          <w:sz w:val="32"/>
          <w:szCs w:val="32"/>
        </w:rPr>
        <w:t>；</w:t>
      </w:r>
    </w:p>
    <w:p w14:paraId="61D755DA">
      <w:pPr>
        <w:spacing w:line="600" w:lineRule="exact"/>
        <w:ind w:firstLine="640" w:firstLineChars="200"/>
        <w:jc w:val="left"/>
        <w:rPr>
          <w:rFonts w:ascii="仿宋" w:hAnsi="仿宋" w:eastAsia="仿宋" w:cs="Times New Roman"/>
          <w:sz w:val="32"/>
          <w:szCs w:val="32"/>
        </w:rPr>
      </w:pPr>
      <w:r>
        <w:rPr>
          <w:rFonts w:hint="eastAsia" w:ascii="仿宋" w:hAnsi="仿宋" w:eastAsia="仿宋" w:cs="Times New Roman"/>
          <w:sz w:val="32"/>
          <w:szCs w:val="32"/>
          <w:lang w:val="en-US" w:eastAsia="zh-CN"/>
        </w:rPr>
        <w:t>5</w:t>
      </w:r>
      <w:r>
        <w:rPr>
          <w:rFonts w:hint="eastAsia" w:ascii="仿宋" w:hAnsi="仿宋" w:eastAsia="仿宋" w:cs="Times New Roman"/>
          <w:sz w:val="32"/>
          <w:szCs w:val="32"/>
        </w:rPr>
        <w:t>.</w:t>
      </w:r>
      <w:r>
        <w:rPr>
          <w:rFonts w:ascii="仿宋" w:hAnsi="仿宋" w:eastAsia="仿宋" w:cs="Times New Roman"/>
          <w:sz w:val="32"/>
          <w:szCs w:val="32"/>
        </w:rPr>
        <w:t>《江苏省自然资源厅关于加快推进土地征收成片开发方案编制</w:t>
      </w:r>
      <w:r>
        <w:rPr>
          <w:rFonts w:hint="eastAsia" w:ascii="仿宋" w:hAnsi="仿宋" w:eastAsia="仿宋" w:cs="Times New Roman"/>
          <w:sz w:val="32"/>
          <w:szCs w:val="32"/>
        </w:rPr>
        <w:t>工作的通知》（苏自然资发〔</w:t>
      </w:r>
      <w:r>
        <w:rPr>
          <w:rFonts w:ascii="仿宋" w:hAnsi="仿宋" w:eastAsia="仿宋" w:cs="Times New Roman"/>
          <w:sz w:val="32"/>
          <w:szCs w:val="32"/>
        </w:rPr>
        <w:t>2021〕138号）</w:t>
      </w:r>
      <w:r>
        <w:rPr>
          <w:rFonts w:hint="eastAsia" w:ascii="仿宋" w:hAnsi="仿宋" w:eastAsia="仿宋" w:cs="Times New Roman"/>
          <w:sz w:val="32"/>
          <w:szCs w:val="32"/>
        </w:rPr>
        <w:t>；</w:t>
      </w:r>
    </w:p>
    <w:p w14:paraId="5D011503">
      <w:pPr>
        <w:spacing w:line="600" w:lineRule="exact"/>
        <w:ind w:firstLine="640" w:firstLineChars="200"/>
        <w:jc w:val="left"/>
        <w:rPr>
          <w:rFonts w:ascii="仿宋" w:hAnsi="仿宋" w:eastAsia="仿宋" w:cs="Times New Roman"/>
          <w:sz w:val="32"/>
          <w:szCs w:val="32"/>
        </w:rPr>
      </w:pPr>
      <w:r>
        <w:rPr>
          <w:rFonts w:hint="eastAsia" w:ascii="仿宋" w:hAnsi="仿宋" w:eastAsia="仿宋" w:cs="Times New Roman"/>
          <w:sz w:val="32"/>
          <w:szCs w:val="32"/>
          <w:lang w:val="en-US" w:eastAsia="zh-CN"/>
        </w:rPr>
        <w:t>6</w:t>
      </w:r>
      <w:r>
        <w:rPr>
          <w:rFonts w:hint="eastAsia" w:ascii="仿宋" w:hAnsi="仿宋" w:eastAsia="仿宋" w:cs="Times New Roman"/>
          <w:sz w:val="32"/>
          <w:szCs w:val="32"/>
        </w:rPr>
        <w:t>.</w:t>
      </w:r>
      <w:bookmarkStart w:id="0" w:name="_Hlk197967130"/>
      <w:r>
        <w:rPr>
          <w:rFonts w:ascii="仿宋" w:hAnsi="仿宋" w:eastAsia="仿宋" w:cs="Times New Roman"/>
          <w:sz w:val="32"/>
          <w:szCs w:val="32"/>
        </w:rPr>
        <w:t>《省政府关于重新公布江苏省征地区片综合地价最低标准的通知》（苏政规〔2023〕12号）</w:t>
      </w:r>
      <w:r>
        <w:rPr>
          <w:rFonts w:hint="eastAsia" w:ascii="仿宋" w:hAnsi="仿宋" w:eastAsia="仿宋" w:cs="Times New Roman"/>
          <w:sz w:val="32"/>
          <w:szCs w:val="32"/>
        </w:rPr>
        <w:t>；</w:t>
      </w:r>
    </w:p>
    <w:p w14:paraId="2A90E608">
      <w:pPr>
        <w:spacing w:line="600" w:lineRule="exact"/>
        <w:ind w:firstLine="640" w:firstLineChars="200"/>
        <w:jc w:val="left"/>
        <w:rPr>
          <w:rFonts w:ascii="仿宋" w:hAnsi="仿宋" w:eastAsia="仿宋" w:cs="Times New Roman"/>
          <w:sz w:val="32"/>
          <w:szCs w:val="32"/>
        </w:rPr>
      </w:pPr>
      <w:r>
        <w:rPr>
          <w:rFonts w:hint="eastAsia" w:ascii="仿宋" w:hAnsi="仿宋" w:eastAsia="仿宋" w:cs="Times New Roman"/>
          <w:sz w:val="32"/>
          <w:szCs w:val="32"/>
          <w:lang w:val="en-US" w:eastAsia="zh-CN"/>
        </w:rPr>
        <w:t>7</w:t>
      </w:r>
      <w:r>
        <w:rPr>
          <w:rFonts w:hint="eastAsia" w:ascii="仿宋" w:hAnsi="仿宋" w:eastAsia="仿宋" w:cs="Times New Roman"/>
          <w:sz w:val="32"/>
          <w:szCs w:val="32"/>
        </w:rPr>
        <w:t>.《江苏省自然资源厅关于深入推进土地征收成片开发方案编制工作的通知》（苏自然资函〔</w:t>
      </w:r>
      <w:r>
        <w:rPr>
          <w:rFonts w:ascii="仿宋" w:hAnsi="仿宋" w:eastAsia="仿宋" w:cs="Times New Roman"/>
          <w:sz w:val="32"/>
          <w:szCs w:val="32"/>
        </w:rPr>
        <w:t>2024〕939号）</w:t>
      </w:r>
      <w:bookmarkEnd w:id="0"/>
      <w:r>
        <w:rPr>
          <w:rFonts w:hint="eastAsia" w:ascii="仿宋" w:hAnsi="仿宋" w:eastAsia="仿宋" w:cs="Times New Roman"/>
          <w:sz w:val="32"/>
          <w:szCs w:val="32"/>
        </w:rPr>
        <w:t>；</w:t>
      </w:r>
    </w:p>
    <w:p w14:paraId="13D578CE">
      <w:pPr>
        <w:spacing w:line="600" w:lineRule="exact"/>
        <w:ind w:firstLine="640" w:firstLineChars="200"/>
        <w:jc w:val="left"/>
        <w:rPr>
          <w:rFonts w:ascii="仿宋" w:hAnsi="仿宋" w:eastAsia="仿宋" w:cs="Times New Roman"/>
          <w:sz w:val="32"/>
          <w:szCs w:val="32"/>
        </w:rPr>
      </w:pPr>
      <w:r>
        <w:rPr>
          <w:rFonts w:hint="eastAsia" w:ascii="仿宋" w:hAnsi="仿宋" w:eastAsia="仿宋" w:cs="Times New Roman"/>
          <w:sz w:val="32"/>
          <w:szCs w:val="32"/>
          <w:lang w:val="en-US" w:eastAsia="zh-CN"/>
        </w:rPr>
        <w:t>8</w:t>
      </w:r>
      <w:r>
        <w:rPr>
          <w:rFonts w:hint="eastAsia" w:ascii="仿宋" w:hAnsi="仿宋" w:eastAsia="仿宋" w:cs="Times New Roman"/>
          <w:sz w:val="32"/>
          <w:szCs w:val="32"/>
        </w:rPr>
        <w:t>.</w:t>
      </w:r>
      <w:r>
        <w:rPr>
          <w:rFonts w:ascii="仿宋" w:hAnsi="仿宋" w:eastAsia="仿宋" w:cs="Times New Roman"/>
          <w:sz w:val="32"/>
          <w:szCs w:val="32"/>
        </w:rPr>
        <w:t>《市政府关于调整征地补偿标准的通知》（淮政发〔2011〕104号）；</w:t>
      </w:r>
    </w:p>
    <w:p w14:paraId="7F883DA4">
      <w:pPr>
        <w:spacing w:line="600" w:lineRule="exact"/>
        <w:ind w:firstLine="640" w:firstLineChars="200"/>
        <w:jc w:val="left"/>
        <w:rPr>
          <w:rFonts w:ascii="仿宋" w:hAnsi="仿宋" w:eastAsia="仿宋" w:cs="Times New Roman"/>
          <w:sz w:val="32"/>
          <w:szCs w:val="32"/>
        </w:rPr>
      </w:pPr>
      <w:r>
        <w:rPr>
          <w:rFonts w:hint="eastAsia" w:ascii="仿宋" w:hAnsi="仿宋" w:eastAsia="仿宋" w:cs="Times New Roman"/>
          <w:sz w:val="32"/>
          <w:szCs w:val="32"/>
          <w:lang w:val="en-US" w:eastAsia="zh-CN"/>
        </w:rPr>
        <w:t>9</w:t>
      </w:r>
      <w:r>
        <w:rPr>
          <w:rFonts w:hint="eastAsia" w:ascii="仿宋" w:hAnsi="仿宋" w:eastAsia="仿宋" w:cs="Times New Roman"/>
          <w:sz w:val="32"/>
          <w:szCs w:val="32"/>
        </w:rPr>
        <w:t>.</w:t>
      </w:r>
      <w:r>
        <w:rPr>
          <w:rFonts w:ascii="仿宋" w:hAnsi="仿宋" w:eastAsia="仿宋" w:cs="Times New Roman"/>
          <w:sz w:val="32"/>
          <w:szCs w:val="32"/>
        </w:rPr>
        <w:t>《市政府关于重新公布淮安市所辖各县区征地区片综合地价执行标准的通知》（淮政规〔2023〕4号）；</w:t>
      </w:r>
    </w:p>
    <w:p w14:paraId="4D3564B1">
      <w:pPr>
        <w:spacing w:line="600" w:lineRule="exact"/>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1</w:t>
      </w:r>
      <w:r>
        <w:rPr>
          <w:rFonts w:hint="eastAsia" w:ascii="仿宋" w:hAnsi="仿宋" w:eastAsia="仿宋" w:cs="Times New Roman"/>
          <w:sz w:val="32"/>
          <w:szCs w:val="32"/>
          <w:lang w:val="en-US" w:eastAsia="zh-CN"/>
        </w:rPr>
        <w:t>0</w:t>
      </w:r>
      <w:r>
        <w:rPr>
          <w:rFonts w:hint="eastAsia" w:ascii="仿宋" w:hAnsi="仿宋" w:eastAsia="仿宋" w:cs="Times New Roman"/>
          <w:sz w:val="32"/>
          <w:szCs w:val="32"/>
        </w:rPr>
        <w:t>.</w:t>
      </w:r>
      <w:r>
        <w:rPr>
          <w:rFonts w:ascii="仿宋" w:hAnsi="仿宋" w:eastAsia="仿宋" w:cs="Times New Roman"/>
          <w:sz w:val="32"/>
          <w:szCs w:val="32"/>
        </w:rPr>
        <w:t>《关于调整202</w:t>
      </w:r>
      <w:r>
        <w:rPr>
          <w:rFonts w:hint="eastAsia" w:ascii="仿宋" w:hAnsi="仿宋" w:eastAsia="仿宋" w:cs="Times New Roman"/>
          <w:sz w:val="32"/>
          <w:szCs w:val="32"/>
          <w:lang w:val="en-US" w:eastAsia="zh-CN"/>
        </w:rPr>
        <w:t>5</w:t>
      </w:r>
      <w:r>
        <w:rPr>
          <w:rFonts w:ascii="仿宋" w:hAnsi="仿宋" w:eastAsia="仿宋" w:cs="Times New Roman"/>
          <w:sz w:val="32"/>
          <w:szCs w:val="32"/>
        </w:rPr>
        <w:t>年被征地农民社会保障费用筹资标准的通知》（淮</w:t>
      </w:r>
      <w:r>
        <w:rPr>
          <w:rFonts w:hint="eastAsia" w:ascii="仿宋" w:hAnsi="仿宋" w:eastAsia="仿宋" w:cs="Times New Roman"/>
          <w:sz w:val="32"/>
          <w:szCs w:val="32"/>
          <w:lang w:val="en-US" w:eastAsia="zh-CN"/>
        </w:rPr>
        <w:t>人社发</w:t>
      </w:r>
      <w:r>
        <w:rPr>
          <w:rFonts w:ascii="仿宋" w:hAnsi="仿宋" w:eastAsia="仿宋" w:cs="Times New Roman"/>
          <w:sz w:val="32"/>
          <w:szCs w:val="32"/>
        </w:rPr>
        <w:t>〔2024〕</w:t>
      </w:r>
      <w:r>
        <w:rPr>
          <w:rFonts w:hint="eastAsia" w:ascii="仿宋" w:hAnsi="仿宋" w:eastAsia="仿宋" w:cs="Times New Roman"/>
          <w:sz w:val="32"/>
          <w:szCs w:val="32"/>
          <w:lang w:val="en-US" w:eastAsia="zh-CN"/>
        </w:rPr>
        <w:t>70</w:t>
      </w:r>
      <w:r>
        <w:rPr>
          <w:rFonts w:ascii="仿宋" w:hAnsi="仿宋" w:eastAsia="仿宋" w:cs="Times New Roman"/>
          <w:sz w:val="32"/>
          <w:szCs w:val="32"/>
        </w:rPr>
        <w:t>号）</w:t>
      </w:r>
    </w:p>
    <w:p w14:paraId="7ACD0178">
      <w:pPr>
        <w:spacing w:line="600" w:lineRule="exact"/>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1</w:t>
      </w:r>
      <w:r>
        <w:rPr>
          <w:rFonts w:hint="eastAsia" w:ascii="仿宋" w:hAnsi="仿宋" w:eastAsia="仿宋" w:cs="Times New Roman"/>
          <w:sz w:val="32"/>
          <w:szCs w:val="32"/>
          <w:lang w:val="en-US" w:eastAsia="zh-CN"/>
        </w:rPr>
        <w:t>1</w:t>
      </w:r>
      <w:r>
        <w:rPr>
          <w:rFonts w:hint="eastAsia" w:ascii="仿宋" w:hAnsi="仿宋" w:eastAsia="仿宋" w:cs="Times New Roman"/>
          <w:sz w:val="32"/>
          <w:szCs w:val="32"/>
        </w:rPr>
        <w:t>.</w:t>
      </w:r>
      <w:r>
        <w:rPr>
          <w:rFonts w:ascii="仿宋" w:hAnsi="仿宋" w:eastAsia="仿宋" w:cs="Times New Roman"/>
          <w:sz w:val="32"/>
          <w:szCs w:val="32"/>
        </w:rPr>
        <w:t>《金湖县国民经济和社会发展第十四个五年规划和二O三五年远景目标纲要》；</w:t>
      </w:r>
    </w:p>
    <w:p w14:paraId="795C3859">
      <w:pPr>
        <w:spacing w:line="600" w:lineRule="exact"/>
        <w:ind w:firstLine="640" w:firstLineChars="200"/>
        <w:jc w:val="left"/>
        <w:rPr>
          <w:rFonts w:ascii="仿宋" w:hAnsi="仿宋" w:eastAsia="仿宋" w:cs="Times New Roman"/>
          <w:sz w:val="32"/>
          <w:szCs w:val="32"/>
        </w:rPr>
      </w:pPr>
      <w:r>
        <w:rPr>
          <w:rFonts w:hint="eastAsia" w:ascii="仿宋" w:hAnsi="仿宋" w:eastAsia="仿宋" w:cs="Times New Roman"/>
          <w:sz w:val="32"/>
          <w:szCs w:val="32"/>
          <w:lang w:val="en-US" w:eastAsia="zh-CN"/>
        </w:rPr>
        <w:t>12</w:t>
      </w:r>
      <w:r>
        <w:rPr>
          <w:rFonts w:hint="eastAsia" w:ascii="仿宋" w:hAnsi="仿宋" w:eastAsia="仿宋" w:cs="Times New Roman"/>
          <w:sz w:val="32"/>
          <w:szCs w:val="32"/>
        </w:rPr>
        <w:t>.《金湖县国土空间总体规划（</w:t>
      </w:r>
      <w:r>
        <w:rPr>
          <w:rFonts w:ascii="仿宋" w:hAnsi="仿宋" w:eastAsia="仿宋" w:cs="Times New Roman"/>
          <w:sz w:val="32"/>
          <w:szCs w:val="32"/>
        </w:rPr>
        <w:t>2021-2035年）》</w:t>
      </w:r>
      <w:r>
        <w:rPr>
          <w:rFonts w:hint="eastAsia" w:ascii="仿宋" w:hAnsi="仿宋" w:eastAsia="仿宋" w:cs="Times New Roman"/>
          <w:sz w:val="32"/>
          <w:szCs w:val="32"/>
        </w:rPr>
        <w:t>；</w:t>
      </w:r>
    </w:p>
    <w:p w14:paraId="61EA980E">
      <w:pPr>
        <w:spacing w:line="600" w:lineRule="exact"/>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1</w:t>
      </w:r>
      <w:r>
        <w:rPr>
          <w:rFonts w:hint="eastAsia" w:ascii="仿宋" w:hAnsi="仿宋" w:eastAsia="仿宋" w:cs="Times New Roman"/>
          <w:sz w:val="32"/>
          <w:szCs w:val="32"/>
          <w:lang w:val="en-US" w:eastAsia="zh-CN"/>
        </w:rPr>
        <w:t>3</w:t>
      </w:r>
      <w:r>
        <w:rPr>
          <w:rFonts w:hint="eastAsia" w:ascii="仿宋" w:hAnsi="仿宋" w:eastAsia="仿宋" w:cs="Times New Roman"/>
          <w:sz w:val="32"/>
          <w:szCs w:val="32"/>
        </w:rPr>
        <w:t>.</w:t>
      </w:r>
      <w:r>
        <w:rPr>
          <w:rFonts w:ascii="仿宋" w:hAnsi="仿宋" w:eastAsia="仿宋" w:cs="Times New Roman"/>
          <w:sz w:val="32"/>
          <w:szCs w:val="32"/>
        </w:rPr>
        <w:t>《</w:t>
      </w:r>
      <w:r>
        <w:rPr>
          <w:rFonts w:hint="eastAsia" w:ascii="仿宋" w:hAnsi="仿宋" w:eastAsia="仿宋" w:cs="Times New Roman"/>
          <w:sz w:val="32"/>
          <w:szCs w:val="32"/>
        </w:rPr>
        <w:t>金湖县主城区及城南片区控制性详细规划》；</w:t>
      </w:r>
    </w:p>
    <w:p w14:paraId="7FD8364F">
      <w:pPr>
        <w:spacing w:line="600" w:lineRule="exact"/>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1</w:t>
      </w:r>
      <w:r>
        <w:rPr>
          <w:rFonts w:hint="eastAsia" w:ascii="仿宋" w:hAnsi="仿宋" w:eastAsia="仿宋" w:cs="Times New Roman"/>
          <w:sz w:val="32"/>
          <w:szCs w:val="32"/>
          <w:lang w:val="en-US" w:eastAsia="zh-CN"/>
        </w:rPr>
        <w:t>4</w:t>
      </w:r>
      <w:r>
        <w:rPr>
          <w:rFonts w:hint="eastAsia" w:ascii="仿宋" w:hAnsi="仿宋" w:eastAsia="仿宋" w:cs="Times New Roman"/>
          <w:sz w:val="32"/>
          <w:szCs w:val="32"/>
        </w:rPr>
        <w:t>.金湖县2</w:t>
      </w:r>
      <w:r>
        <w:rPr>
          <w:rFonts w:ascii="仿宋" w:hAnsi="仿宋" w:eastAsia="仿宋" w:cs="Times New Roman"/>
          <w:sz w:val="32"/>
          <w:szCs w:val="32"/>
        </w:rPr>
        <w:t>0</w:t>
      </w:r>
      <w:r>
        <w:rPr>
          <w:rFonts w:hint="eastAsia" w:ascii="仿宋" w:hAnsi="仿宋" w:eastAsia="仿宋" w:cs="Times New Roman"/>
          <w:sz w:val="32"/>
          <w:szCs w:val="32"/>
        </w:rPr>
        <w:t>23年度国土变更调查成果；</w:t>
      </w:r>
    </w:p>
    <w:p w14:paraId="6FE1197C">
      <w:pPr>
        <w:spacing w:line="600" w:lineRule="exact"/>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1</w:t>
      </w:r>
      <w:r>
        <w:rPr>
          <w:rFonts w:hint="eastAsia" w:ascii="仿宋" w:hAnsi="仿宋" w:eastAsia="仿宋" w:cs="Times New Roman"/>
          <w:sz w:val="32"/>
          <w:szCs w:val="32"/>
          <w:lang w:val="en-US" w:eastAsia="zh-CN"/>
        </w:rPr>
        <w:t>5</w:t>
      </w:r>
      <w:r>
        <w:rPr>
          <w:rFonts w:hint="eastAsia" w:ascii="仿宋" w:hAnsi="仿宋" w:eastAsia="仿宋" w:cs="Times New Roman"/>
          <w:sz w:val="32"/>
          <w:szCs w:val="32"/>
        </w:rPr>
        <w:t>.</w:t>
      </w:r>
      <w:r>
        <w:rPr>
          <w:rFonts w:ascii="仿宋" w:hAnsi="仿宋" w:eastAsia="仿宋" w:cs="Times New Roman"/>
          <w:sz w:val="32"/>
          <w:szCs w:val="32"/>
        </w:rPr>
        <w:t>成片开发拟建设项目的相关资料及其他资料</w:t>
      </w:r>
      <w:r>
        <w:rPr>
          <w:rFonts w:hint="eastAsia" w:ascii="仿宋" w:hAnsi="仿宋" w:eastAsia="仿宋" w:cs="Times New Roman"/>
          <w:sz w:val="32"/>
          <w:szCs w:val="32"/>
        </w:rPr>
        <w:t>。</w:t>
      </w:r>
    </w:p>
    <w:p w14:paraId="299B98CB">
      <w:pPr>
        <w:spacing w:line="600" w:lineRule="exact"/>
        <w:ind w:firstLine="640" w:firstLineChars="200"/>
        <w:rPr>
          <w:rFonts w:ascii="黑体" w:hAnsi="黑体" w:eastAsia="黑体" w:cs="Times New Roman"/>
          <w:sz w:val="32"/>
          <w:szCs w:val="32"/>
        </w:rPr>
      </w:pPr>
      <w:r>
        <w:rPr>
          <w:rFonts w:ascii="黑体" w:hAnsi="黑体" w:eastAsia="黑体" w:cs="Times New Roman"/>
          <w:sz w:val="32"/>
          <w:szCs w:val="32"/>
        </w:rPr>
        <w:t>二、</w:t>
      </w:r>
      <w:r>
        <w:rPr>
          <w:rFonts w:hint="eastAsia" w:ascii="黑体" w:hAnsi="黑体" w:eastAsia="黑体" w:cs="Times New Roman"/>
          <w:sz w:val="32"/>
          <w:szCs w:val="32"/>
        </w:rPr>
        <w:t>调整片区</w:t>
      </w:r>
      <w:r>
        <w:rPr>
          <w:rFonts w:ascii="黑体" w:hAnsi="黑体" w:eastAsia="黑体" w:cs="Times New Roman"/>
          <w:sz w:val="32"/>
          <w:szCs w:val="32"/>
        </w:rPr>
        <w:t>基本情况</w:t>
      </w:r>
      <w:bookmarkStart w:id="1" w:name="_GoBack"/>
      <w:bookmarkEnd w:id="1"/>
    </w:p>
    <w:p w14:paraId="51416934">
      <w:pPr>
        <w:wordWrap w:val="0"/>
        <w:spacing w:line="60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本方案成片开发调整方案总计调整1片区</w:t>
      </w:r>
      <w:r>
        <w:rPr>
          <w:rFonts w:ascii="仿宋" w:hAnsi="仿宋" w:eastAsia="仿宋" w:cs="Times New Roman"/>
          <w:sz w:val="32"/>
          <w:szCs w:val="32"/>
        </w:rPr>
        <w:t>，</w:t>
      </w:r>
      <w:r>
        <w:rPr>
          <w:rFonts w:hint="eastAsia" w:ascii="仿宋" w:hAnsi="仿宋" w:eastAsia="仿宋" w:cs="Times New Roman"/>
          <w:sz w:val="32"/>
          <w:szCs w:val="32"/>
        </w:rPr>
        <w:t>为原金湖县</w:t>
      </w:r>
      <w:r>
        <w:rPr>
          <w:rFonts w:ascii="仿宋" w:hAnsi="仿宋" w:eastAsia="仿宋" w:cs="Times New Roman"/>
          <w:sz w:val="32"/>
          <w:szCs w:val="32"/>
        </w:rPr>
        <w:t>2021-01号土地征收</w:t>
      </w:r>
      <w:r>
        <w:rPr>
          <w:rFonts w:hint="eastAsia" w:ascii="仿宋" w:hAnsi="仿宋" w:eastAsia="仿宋" w:cs="Times New Roman"/>
          <w:sz w:val="32"/>
          <w:szCs w:val="32"/>
        </w:rPr>
        <w:t>成片开发方案高新企业孵化产业园片区（</w:t>
      </w:r>
      <w:r>
        <w:rPr>
          <w:rFonts w:ascii="仿宋" w:hAnsi="仿宋" w:eastAsia="仿宋" w:cs="Times New Roman"/>
          <w:sz w:val="32"/>
          <w:szCs w:val="32"/>
        </w:rPr>
        <w:t>CP320831-2021-01-06）</w:t>
      </w:r>
      <w:r>
        <w:rPr>
          <w:rFonts w:hint="eastAsia" w:ascii="仿宋" w:hAnsi="仿宋" w:eastAsia="仿宋" w:cs="Times New Roman"/>
          <w:sz w:val="32"/>
          <w:szCs w:val="32"/>
        </w:rPr>
        <w:t>，片区位于金湖县黎城街道，调整后片区</w:t>
      </w:r>
      <w:r>
        <w:rPr>
          <w:rFonts w:ascii="仿宋" w:hAnsi="仿宋" w:eastAsia="仿宋" w:cs="Times New Roman"/>
          <w:sz w:val="32"/>
          <w:szCs w:val="32"/>
        </w:rPr>
        <w:t>总面积256.8021</w:t>
      </w:r>
      <w:r>
        <w:rPr>
          <w:rFonts w:hint="eastAsia" w:ascii="仿宋" w:hAnsi="仿宋" w:eastAsia="仿宋" w:cs="Times New Roman"/>
          <w:sz w:val="32"/>
          <w:szCs w:val="32"/>
        </w:rPr>
        <w:t>公顷</w:t>
      </w:r>
      <w:r>
        <w:rPr>
          <w:rFonts w:ascii="仿宋" w:hAnsi="仿宋" w:eastAsia="仿宋" w:cs="Times New Roman"/>
          <w:sz w:val="32"/>
          <w:szCs w:val="32"/>
        </w:rPr>
        <w:t>（成片开发</w:t>
      </w:r>
      <w:r>
        <w:rPr>
          <w:rFonts w:hint="eastAsia" w:ascii="仿宋" w:hAnsi="仿宋" w:eastAsia="仿宋" w:cs="Times New Roman"/>
          <w:sz w:val="32"/>
          <w:szCs w:val="32"/>
        </w:rPr>
        <w:t>调整片区</w:t>
      </w:r>
      <w:r>
        <w:rPr>
          <w:rFonts w:ascii="仿宋" w:hAnsi="仿宋" w:eastAsia="仿宋" w:cs="Times New Roman"/>
          <w:sz w:val="32"/>
          <w:szCs w:val="32"/>
        </w:rPr>
        <w:t>范围以最终批复为准）。</w:t>
      </w:r>
    </w:p>
    <w:p w14:paraId="556DD857">
      <w:pPr>
        <w:tabs>
          <w:tab w:val="center" w:pos="4153"/>
        </w:tabs>
        <w:spacing w:line="600" w:lineRule="exact"/>
        <w:ind w:firstLine="640" w:firstLineChars="200"/>
        <w:rPr>
          <w:rFonts w:ascii="黑体" w:hAnsi="黑体" w:eastAsia="黑体" w:cs="Times New Roman"/>
          <w:sz w:val="32"/>
          <w:szCs w:val="32"/>
        </w:rPr>
      </w:pPr>
      <w:r>
        <w:rPr>
          <w:rFonts w:ascii="黑体" w:hAnsi="黑体" w:eastAsia="黑体" w:cs="Times New Roman"/>
          <w:sz w:val="32"/>
          <w:szCs w:val="32"/>
        </w:rPr>
        <w:t>三、成片开发的必要性</w:t>
      </w:r>
      <w:r>
        <w:rPr>
          <w:rFonts w:hint="eastAsia" w:ascii="黑体" w:hAnsi="黑体" w:eastAsia="黑体" w:cs="Times New Roman"/>
          <w:sz w:val="32"/>
          <w:szCs w:val="32"/>
        </w:rPr>
        <w:tab/>
      </w:r>
    </w:p>
    <w:p w14:paraId="72116362">
      <w:pPr>
        <w:spacing w:line="60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根据《中华人民共和国宪法》第十条和《中华人民共和国土地管理法》第二条均规定：国家为了公共利益的需要，可以依照法律规定对土地实行征收或者征用并给予补偿。土地征收在促进工业化城镇化快速发展的同时，也暴露出征地规模过大、征地程序不规范、被征地农民合法权益保障不充分等问题。</w:t>
      </w:r>
    </w:p>
    <w:p w14:paraId="201EA861">
      <w:pPr>
        <w:spacing w:line="60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中华人民共和国土地管理法》按照党的十八届三中全会确定的缩小征地范围、规范征地程序、完善对被征地农民合理规范多元保障机制的改革要求，明确：军事和外交，能源、交通、水利等基础设施，科技、教育等社会公共事业，扶贫搬迁和保障性安居工程，确属必需的，可以征收农民集体所有土地。同时，考虑到我国正处于工业化、城镇化快速推进的时期，为了满足城市发展用地需求，在第四十五条第一款第（五）项规定符合条件的“成片开发”建设可以征收土地。</w:t>
      </w:r>
    </w:p>
    <w:p w14:paraId="532E5BCB">
      <w:pPr>
        <w:spacing w:line="60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成片开发是针对以上发展指导理念的贯彻实施，通过土地的成片开发，可以统筹规划片区资源要素，协调开发和保护、经济与文化，生产、生活和生态等多种需求的功能配置，实现土地综合利用和高效利用，促进区域协调、融合发展。</w:t>
      </w:r>
    </w:p>
    <w:p w14:paraId="34844A52">
      <w:pPr>
        <w:spacing w:line="60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通过成片开发的编制，金湖县政府坚持新发展理念，以人民为中心，设立等级合理、分布均衡的社会公共服务网络，充分保障原有居民的社会利益，提高居民生活水平，促进城镇健康发展。</w:t>
      </w:r>
    </w:p>
    <w:p w14:paraId="522401E2">
      <w:pPr>
        <w:spacing w:line="60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同时，通过成片开发，设立等级合理、分布均衡的社会公共服务网络，充分保障周边居民的社会利益，提高居民生活水平，从而在开发过程中，保障人民群众的基本权益。</w:t>
      </w:r>
    </w:p>
    <w:p w14:paraId="4A6909A0">
      <w:pPr>
        <w:spacing w:line="600" w:lineRule="exact"/>
        <w:ind w:firstLine="640" w:firstLineChars="200"/>
        <w:rPr>
          <w:rFonts w:ascii="黑体" w:hAnsi="黑体" w:eastAsia="黑体" w:cs="Times New Roman"/>
          <w:sz w:val="32"/>
          <w:szCs w:val="32"/>
        </w:rPr>
      </w:pPr>
      <w:r>
        <w:rPr>
          <w:rFonts w:hint="eastAsia" w:ascii="黑体" w:hAnsi="黑体" w:eastAsia="黑体" w:cs="Times New Roman"/>
          <w:sz w:val="32"/>
          <w:szCs w:val="32"/>
        </w:rPr>
        <w:t>四、公益性用地情况</w:t>
      </w:r>
    </w:p>
    <w:p w14:paraId="3AA326C0">
      <w:pPr>
        <w:spacing w:line="60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片区中公益性用地包括公共管理与公共服务用地、道路与交通设施用地、绿地与广场用地、保障性安居工程用地等。本次方案共编制1个调整</w:t>
      </w:r>
      <w:r>
        <w:rPr>
          <w:rFonts w:ascii="仿宋" w:hAnsi="仿宋" w:eastAsia="仿宋" w:cs="Times New Roman"/>
          <w:sz w:val="32"/>
          <w:szCs w:val="32"/>
        </w:rPr>
        <w:t>片区</w:t>
      </w:r>
      <w:r>
        <w:rPr>
          <w:rFonts w:hint="eastAsia" w:ascii="仿宋" w:hAnsi="仿宋" w:eastAsia="仿宋" w:cs="Times New Roman"/>
          <w:sz w:val="32"/>
          <w:szCs w:val="32"/>
        </w:rPr>
        <w:t>，满足《江苏省自然资源厅关于深入推进土地征收成片开发方案编制工作的通知》（苏自然资函〔</w:t>
      </w:r>
      <w:r>
        <w:rPr>
          <w:rFonts w:ascii="仿宋" w:hAnsi="仿宋" w:eastAsia="仿宋" w:cs="Times New Roman"/>
          <w:sz w:val="32"/>
          <w:szCs w:val="32"/>
        </w:rPr>
        <w:t>2024〕939号）中对</w:t>
      </w:r>
      <w:r>
        <w:rPr>
          <w:rFonts w:hint="eastAsia" w:ascii="仿宋" w:hAnsi="仿宋" w:eastAsia="仿宋" w:cs="Times New Roman"/>
          <w:sz w:val="32"/>
          <w:szCs w:val="32"/>
        </w:rPr>
        <w:t>成片开发片区公益性用地比例的规定。</w:t>
      </w:r>
    </w:p>
    <w:p w14:paraId="2012759C">
      <w:pPr>
        <w:spacing w:line="60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城市新区类和产城融合类开发片区公益性用地比例一般不低于</w:t>
      </w:r>
      <w:r>
        <w:rPr>
          <w:rFonts w:ascii="仿宋" w:hAnsi="仿宋" w:eastAsia="仿宋" w:cs="Times New Roman"/>
          <w:sz w:val="32"/>
          <w:szCs w:val="32"/>
        </w:rPr>
        <w:t>40%，工业主导类的公益性用地比例不低于20%（片区内工矿用地，仓储用地面积占片区总面积60%以上）；省重大产业项目和特色优势产业集聚程度高，且工矿和仓储用地占片区总面积不低于70%的片区，公益性用地比例原则上不低于15%，经批准设立的海关特殊监管区公益性用地比例按经批准的控制性详细规划确定。</w:t>
      </w:r>
    </w:p>
    <w:p w14:paraId="7F369DB0">
      <w:pPr>
        <w:spacing w:line="60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本次成片开发有利于将基础设施、公共服务设施用地的“公益属性”最大化，对周边居民的生产、生活等产生重要的积极影响，有利于提高人民群众的生活质量和幸福度，有效地改进土地征收中的公共利益问题，能统筹推动城乡各类空间资源的有效保护、有序开发、弹性利用，建立起弹性和民主的市场，推动城镇发展。</w:t>
      </w:r>
    </w:p>
    <w:p w14:paraId="59E05FB2">
      <w:pPr>
        <w:spacing w:line="600" w:lineRule="exact"/>
        <w:ind w:firstLine="640" w:firstLineChars="200"/>
        <w:rPr>
          <w:rFonts w:hint="eastAsia" w:ascii="仿宋" w:hAnsi="仿宋" w:eastAsia="仿宋" w:cs="Times New Roman"/>
          <w:sz w:val="32"/>
          <w:szCs w:val="32"/>
        </w:rPr>
      </w:pPr>
    </w:p>
    <w:p w14:paraId="6D4C55BB">
      <w:pPr>
        <w:spacing w:line="600" w:lineRule="exact"/>
        <w:ind w:firstLine="640" w:firstLineChars="200"/>
        <w:rPr>
          <w:rFonts w:ascii="黑体" w:hAnsi="黑体" w:eastAsia="黑体" w:cs="Times New Roman"/>
          <w:sz w:val="32"/>
          <w:szCs w:val="32"/>
        </w:rPr>
      </w:pPr>
      <w:r>
        <w:rPr>
          <w:rFonts w:hint="eastAsia" w:ascii="黑体" w:hAnsi="黑体" w:eastAsia="黑体" w:cs="Times New Roman"/>
          <w:sz w:val="32"/>
          <w:szCs w:val="32"/>
        </w:rPr>
        <w:t>五、规划衔接情况</w:t>
      </w:r>
    </w:p>
    <w:p w14:paraId="2481DD3F">
      <w:pPr>
        <w:spacing w:line="600" w:lineRule="exact"/>
        <w:ind w:firstLine="640" w:firstLineChars="200"/>
        <w:rPr>
          <w:rFonts w:ascii="仿宋" w:hAnsi="仿宋" w:eastAsia="仿宋" w:cs="Times New Roman"/>
          <w:sz w:val="32"/>
          <w:szCs w:val="32"/>
        </w:rPr>
      </w:pPr>
      <w:r>
        <w:rPr>
          <w:rFonts w:ascii="仿宋" w:hAnsi="仿宋" w:eastAsia="仿宋" w:cs="Times New Roman"/>
          <w:sz w:val="32"/>
          <w:szCs w:val="32"/>
        </w:rPr>
        <w:t>1</w:t>
      </w:r>
      <w:r>
        <w:rPr>
          <w:rFonts w:hint="eastAsia" w:ascii="仿宋" w:hAnsi="仿宋" w:eastAsia="仿宋" w:cs="Times New Roman"/>
          <w:sz w:val="32"/>
          <w:szCs w:val="32"/>
        </w:rPr>
        <w:t>.本方案符合国民经济和社会发展规划的发展定位、要求，已纳入国民经济和社会发展年度计划。</w:t>
      </w:r>
    </w:p>
    <w:p w14:paraId="25118C89">
      <w:pPr>
        <w:spacing w:line="600" w:lineRule="exact"/>
        <w:ind w:firstLine="640" w:firstLineChars="200"/>
        <w:rPr>
          <w:rFonts w:ascii="仿宋" w:hAnsi="仿宋" w:eastAsia="仿宋" w:cs="Times New Roman"/>
          <w:sz w:val="32"/>
          <w:szCs w:val="32"/>
        </w:rPr>
      </w:pPr>
      <w:r>
        <w:rPr>
          <w:rFonts w:ascii="仿宋" w:hAnsi="仿宋" w:eastAsia="仿宋" w:cs="Times New Roman"/>
          <w:sz w:val="32"/>
          <w:szCs w:val="32"/>
        </w:rPr>
        <w:t>2</w:t>
      </w:r>
      <w:r>
        <w:rPr>
          <w:rFonts w:hint="eastAsia" w:ascii="仿宋" w:hAnsi="仿宋" w:eastAsia="仿宋" w:cs="Times New Roman"/>
          <w:sz w:val="32"/>
          <w:szCs w:val="32"/>
        </w:rPr>
        <w:t>.</w:t>
      </w:r>
      <w:r>
        <w:rPr>
          <w:rFonts w:ascii="仿宋" w:hAnsi="仿宋" w:eastAsia="仿宋" w:cs="Times New Roman"/>
          <w:sz w:val="32"/>
          <w:szCs w:val="32"/>
        </w:rPr>
        <w:t>本次土地征收成片开发方案</w:t>
      </w:r>
      <w:r>
        <w:rPr>
          <w:rFonts w:hint="eastAsia" w:ascii="仿宋" w:hAnsi="仿宋" w:eastAsia="仿宋" w:cs="Times New Roman"/>
          <w:sz w:val="32"/>
          <w:szCs w:val="32"/>
        </w:rPr>
        <w:t>片区</w:t>
      </w:r>
      <w:r>
        <w:rPr>
          <w:rFonts w:ascii="仿宋" w:hAnsi="仿宋" w:eastAsia="仿宋" w:cs="Times New Roman"/>
          <w:sz w:val="32"/>
          <w:szCs w:val="32"/>
        </w:rPr>
        <w:t>范围</w:t>
      </w:r>
      <w:r>
        <w:rPr>
          <w:rFonts w:hint="eastAsia" w:ascii="仿宋" w:hAnsi="仿宋" w:eastAsia="仿宋" w:cs="Times New Roman"/>
          <w:sz w:val="32"/>
          <w:szCs w:val="32"/>
        </w:rPr>
        <w:t>位于《金湖县国土空间总体规划（</w:t>
      </w:r>
      <w:r>
        <w:rPr>
          <w:rFonts w:ascii="仿宋" w:hAnsi="仿宋" w:eastAsia="仿宋" w:cs="Times New Roman"/>
          <w:sz w:val="32"/>
          <w:szCs w:val="32"/>
        </w:rPr>
        <w:t>2021-2035）》确定的城镇开发边界内的城镇建设用地范围内</w:t>
      </w:r>
      <w:r>
        <w:rPr>
          <w:rFonts w:hint="eastAsia" w:ascii="仿宋" w:hAnsi="仿宋" w:eastAsia="仿宋" w:cs="Times New Roman"/>
          <w:sz w:val="32"/>
          <w:szCs w:val="32"/>
        </w:rPr>
        <w:t>，符合《金湖县国土空间总体规划（</w:t>
      </w:r>
      <w:r>
        <w:rPr>
          <w:rFonts w:ascii="仿宋" w:hAnsi="仿宋" w:eastAsia="仿宋" w:cs="Times New Roman"/>
          <w:sz w:val="32"/>
          <w:szCs w:val="32"/>
        </w:rPr>
        <w:t>2021-2035）》</w:t>
      </w:r>
      <w:r>
        <w:rPr>
          <w:rFonts w:hint="eastAsia" w:ascii="仿宋" w:hAnsi="仿宋" w:eastAsia="仿宋" w:cs="Times New Roman"/>
          <w:sz w:val="32"/>
          <w:szCs w:val="32"/>
        </w:rPr>
        <w:t>提出的发展定位目标，满足进行综合性开发建设活动的规定。</w:t>
      </w:r>
    </w:p>
    <w:p w14:paraId="2D4924A9">
      <w:pPr>
        <w:spacing w:line="600" w:lineRule="exact"/>
        <w:ind w:firstLine="640" w:firstLineChars="200"/>
        <w:rPr>
          <w:rFonts w:ascii="仿宋" w:hAnsi="仿宋" w:eastAsia="仿宋" w:cs="Times New Roman"/>
          <w:sz w:val="32"/>
          <w:szCs w:val="32"/>
        </w:rPr>
      </w:pPr>
      <w:r>
        <w:rPr>
          <w:rFonts w:ascii="仿宋" w:hAnsi="仿宋" w:eastAsia="仿宋" w:cs="Times New Roman"/>
          <w:sz w:val="32"/>
          <w:szCs w:val="32"/>
        </w:rPr>
        <w:t>3</w:t>
      </w:r>
      <w:r>
        <w:rPr>
          <w:rFonts w:hint="eastAsia" w:ascii="仿宋" w:hAnsi="仿宋" w:eastAsia="仿宋" w:cs="Times New Roman"/>
          <w:sz w:val="32"/>
          <w:szCs w:val="32"/>
        </w:rPr>
        <w:t>.</w:t>
      </w:r>
      <w:r>
        <w:rPr>
          <w:rFonts w:ascii="仿宋" w:hAnsi="仿宋" w:eastAsia="仿宋" w:cs="Times New Roman"/>
          <w:sz w:val="32"/>
          <w:szCs w:val="32"/>
        </w:rPr>
        <w:t>根据</w:t>
      </w:r>
      <w:r>
        <w:rPr>
          <w:rFonts w:hint="eastAsia" w:ascii="仿宋" w:hAnsi="仿宋" w:eastAsia="仿宋" w:cs="Times New Roman"/>
          <w:sz w:val="32"/>
          <w:szCs w:val="32"/>
        </w:rPr>
        <w:t>本次方案</w:t>
      </w:r>
      <w:r>
        <w:rPr>
          <w:rFonts w:ascii="仿宋" w:hAnsi="仿宋" w:eastAsia="仿宋" w:cs="Times New Roman"/>
          <w:sz w:val="32"/>
          <w:szCs w:val="32"/>
        </w:rPr>
        <w:t>片区</w:t>
      </w:r>
      <w:r>
        <w:rPr>
          <w:rFonts w:hint="eastAsia" w:ascii="仿宋" w:hAnsi="仿宋" w:eastAsia="仿宋" w:cs="Times New Roman"/>
          <w:sz w:val="32"/>
          <w:szCs w:val="32"/>
        </w:rPr>
        <w:t>所在的</w:t>
      </w:r>
      <w:r>
        <w:rPr>
          <w:rFonts w:ascii="仿宋" w:hAnsi="仿宋" w:eastAsia="仿宋" w:cs="Times New Roman"/>
          <w:sz w:val="32"/>
          <w:szCs w:val="32"/>
        </w:rPr>
        <w:t>详细规划，片区规划地类包括</w:t>
      </w:r>
      <w:r>
        <w:rPr>
          <w:rFonts w:hint="eastAsia" w:ascii="仿宋" w:hAnsi="仿宋" w:eastAsia="仿宋" w:cs="Times New Roman"/>
          <w:sz w:val="32"/>
          <w:szCs w:val="32"/>
        </w:rPr>
        <w:t>居住用地、商业服务业用地、公共管理与公共服务用地、工矿用地、交通运输用地、公用设施用地、绿地与开敞空间用地等，本方案符合片区所属的详细规划。</w:t>
      </w:r>
    </w:p>
    <w:p w14:paraId="6A102668">
      <w:pPr>
        <w:spacing w:line="600" w:lineRule="exact"/>
        <w:ind w:firstLine="640" w:firstLineChars="200"/>
        <w:rPr>
          <w:rFonts w:ascii="黑体" w:hAnsi="黑体" w:eastAsia="黑体" w:cs="Times New Roman"/>
          <w:sz w:val="32"/>
          <w:szCs w:val="32"/>
        </w:rPr>
      </w:pPr>
      <w:r>
        <w:rPr>
          <w:rFonts w:hint="eastAsia" w:ascii="黑体" w:hAnsi="黑体" w:eastAsia="黑体" w:cs="Times New Roman"/>
          <w:sz w:val="32"/>
          <w:szCs w:val="32"/>
        </w:rPr>
        <w:t>六、永久基本农田及生态保护情况</w:t>
      </w:r>
    </w:p>
    <w:p w14:paraId="089E5AC5">
      <w:pPr>
        <w:spacing w:line="60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本片区成片开发范围内不涉及永久基本农田和生态保护红线。</w:t>
      </w:r>
    </w:p>
    <w:p w14:paraId="3E0CFC20">
      <w:pPr>
        <w:spacing w:line="600" w:lineRule="exact"/>
        <w:ind w:firstLine="640" w:firstLineChars="200"/>
        <w:rPr>
          <w:rFonts w:ascii="黑体" w:hAnsi="黑体" w:eastAsia="黑体" w:cs="Times New Roman"/>
          <w:sz w:val="32"/>
          <w:szCs w:val="32"/>
        </w:rPr>
      </w:pPr>
      <w:r>
        <w:rPr>
          <w:rFonts w:hint="eastAsia" w:ascii="黑体" w:hAnsi="黑体" w:eastAsia="黑体" w:cs="Times New Roman"/>
          <w:sz w:val="32"/>
          <w:szCs w:val="32"/>
        </w:rPr>
        <w:t>七、拟建设项目、开发时序和实施计划</w:t>
      </w:r>
    </w:p>
    <w:p w14:paraId="1331392F">
      <w:pPr>
        <w:spacing w:line="60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成片开发范围内拟建设项目以工矿仓储项目为主，配套建设公共基础设施等项目，计划在</w:t>
      </w:r>
      <w:r>
        <w:rPr>
          <w:rFonts w:ascii="仿宋" w:hAnsi="仿宋" w:eastAsia="仿宋" w:cs="Times New Roman"/>
          <w:sz w:val="32"/>
          <w:szCs w:val="32"/>
        </w:rPr>
        <w:t>202</w:t>
      </w:r>
      <w:r>
        <w:rPr>
          <w:rFonts w:hint="eastAsia" w:ascii="仿宋" w:hAnsi="仿宋" w:eastAsia="仿宋" w:cs="Times New Roman"/>
          <w:sz w:val="32"/>
          <w:szCs w:val="32"/>
        </w:rPr>
        <w:t>5</w:t>
      </w:r>
      <w:r>
        <w:rPr>
          <w:rFonts w:ascii="仿宋" w:hAnsi="仿宋" w:eastAsia="仿宋" w:cs="Times New Roman"/>
          <w:sz w:val="32"/>
          <w:szCs w:val="32"/>
        </w:rPr>
        <w:t>至202</w:t>
      </w:r>
      <w:r>
        <w:rPr>
          <w:rFonts w:hint="eastAsia" w:ascii="仿宋" w:hAnsi="仿宋" w:eastAsia="仿宋" w:cs="Times New Roman"/>
          <w:sz w:val="32"/>
          <w:szCs w:val="32"/>
        </w:rPr>
        <w:t>9</w:t>
      </w:r>
      <w:r>
        <w:rPr>
          <w:rFonts w:ascii="仿宋" w:hAnsi="仿宋" w:eastAsia="仿宋" w:cs="Times New Roman"/>
          <w:sz w:val="32"/>
          <w:szCs w:val="32"/>
        </w:rPr>
        <w:t>年分批次启动土地征收工作。</w:t>
      </w:r>
    </w:p>
    <w:p w14:paraId="626B8694">
      <w:pPr>
        <w:spacing w:line="60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方案计划在批复后</w:t>
      </w:r>
      <w:r>
        <w:rPr>
          <w:rFonts w:ascii="仿宋" w:hAnsi="仿宋" w:eastAsia="仿宋" w:cs="Times New Roman"/>
          <w:sz w:val="32"/>
          <w:szCs w:val="32"/>
        </w:rPr>
        <w:t>启动土地征收工作，</w:t>
      </w:r>
      <w:r>
        <w:rPr>
          <w:rFonts w:hint="eastAsia" w:ascii="仿宋" w:hAnsi="仿宋" w:eastAsia="仿宋" w:cs="Times New Roman"/>
          <w:sz w:val="32"/>
          <w:szCs w:val="32"/>
        </w:rPr>
        <w:t>同步</w:t>
      </w:r>
      <w:r>
        <w:rPr>
          <w:rFonts w:ascii="仿宋" w:hAnsi="仿宋" w:eastAsia="仿宋" w:cs="Times New Roman"/>
          <w:sz w:val="32"/>
          <w:szCs w:val="32"/>
        </w:rPr>
        <w:t>进行基础设施建设，土地供应按项目实施进展情况，根据实际需求进行供地</w:t>
      </w:r>
      <w:r>
        <w:rPr>
          <w:rFonts w:hint="eastAsia" w:ascii="仿宋" w:hAnsi="仿宋" w:eastAsia="仿宋" w:cs="Times New Roman"/>
          <w:sz w:val="32"/>
          <w:szCs w:val="32"/>
        </w:rPr>
        <w:t>，计划五年内完成项目建设</w:t>
      </w:r>
      <w:r>
        <w:rPr>
          <w:rFonts w:ascii="仿宋" w:hAnsi="仿宋" w:eastAsia="仿宋" w:cs="Times New Roman"/>
          <w:sz w:val="32"/>
          <w:szCs w:val="32"/>
        </w:rPr>
        <w:t>。</w:t>
      </w:r>
    </w:p>
    <w:p w14:paraId="04629276">
      <w:pPr>
        <w:spacing w:line="600" w:lineRule="exact"/>
        <w:ind w:firstLine="640" w:firstLineChars="200"/>
        <w:rPr>
          <w:rFonts w:hint="eastAsia" w:ascii="仿宋" w:hAnsi="仿宋" w:eastAsia="仿宋" w:cs="Times New Roman"/>
          <w:sz w:val="32"/>
          <w:szCs w:val="32"/>
        </w:rPr>
      </w:pPr>
    </w:p>
    <w:p w14:paraId="5216D90C">
      <w:pPr>
        <w:spacing w:line="600" w:lineRule="exact"/>
        <w:ind w:firstLine="640" w:firstLineChars="200"/>
        <w:rPr>
          <w:rFonts w:ascii="黑体" w:hAnsi="黑体" w:eastAsia="黑体" w:cs="Times New Roman"/>
          <w:sz w:val="32"/>
          <w:szCs w:val="32"/>
        </w:rPr>
      </w:pPr>
      <w:r>
        <w:rPr>
          <w:rFonts w:hint="eastAsia" w:ascii="黑体" w:hAnsi="黑体" w:eastAsia="黑体" w:cs="Times New Roman"/>
          <w:sz w:val="32"/>
          <w:szCs w:val="32"/>
        </w:rPr>
        <w:t>八、选址适宜性</w:t>
      </w:r>
    </w:p>
    <w:p w14:paraId="51916FCF">
      <w:pPr>
        <w:spacing w:line="60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项目选址未见现状地质灾害，未处于地质灾害易发区。</w:t>
      </w:r>
    </w:p>
    <w:p w14:paraId="0FFDDCC7">
      <w:pPr>
        <w:spacing w:line="600" w:lineRule="exact"/>
        <w:ind w:firstLine="640" w:firstLineChars="200"/>
        <w:rPr>
          <w:rFonts w:ascii="黑体" w:hAnsi="黑体" w:eastAsia="黑体" w:cs="Times New Roman"/>
          <w:sz w:val="32"/>
          <w:szCs w:val="32"/>
        </w:rPr>
      </w:pPr>
      <w:r>
        <w:rPr>
          <w:rFonts w:hint="eastAsia" w:ascii="黑体" w:hAnsi="黑体" w:eastAsia="黑体" w:cs="Times New Roman"/>
          <w:sz w:val="32"/>
          <w:szCs w:val="32"/>
        </w:rPr>
        <w:t>九、落实被征地群众安置补偿、维护群众利益的计划措施</w:t>
      </w:r>
    </w:p>
    <w:p w14:paraId="190B8840">
      <w:pPr>
        <w:spacing w:line="600" w:lineRule="exact"/>
        <w:ind w:firstLine="640" w:firstLineChars="200"/>
        <w:rPr>
          <w:rFonts w:ascii="仿宋" w:hAnsi="仿宋" w:eastAsia="仿宋" w:cs="Times New Roman"/>
          <w:sz w:val="32"/>
          <w:szCs w:val="32"/>
        </w:rPr>
      </w:pPr>
      <w:r>
        <w:rPr>
          <w:rFonts w:ascii="仿宋" w:hAnsi="仿宋" w:eastAsia="仿宋" w:cs="Times New Roman"/>
          <w:sz w:val="32"/>
          <w:szCs w:val="32"/>
        </w:rPr>
        <w:t>1</w:t>
      </w:r>
      <w:r>
        <w:rPr>
          <w:rFonts w:hint="eastAsia" w:ascii="仿宋" w:hAnsi="仿宋" w:eastAsia="仿宋" w:cs="Times New Roman"/>
          <w:sz w:val="32"/>
          <w:szCs w:val="32"/>
        </w:rPr>
        <w:t>.</w:t>
      </w:r>
      <w:r>
        <w:rPr>
          <w:rFonts w:ascii="仿宋" w:hAnsi="仿宋" w:eastAsia="仿宋" w:cs="Times New Roman"/>
          <w:sz w:val="32"/>
          <w:szCs w:val="32"/>
        </w:rPr>
        <w:t>征地补偿标准：</w:t>
      </w:r>
      <w:r>
        <w:rPr>
          <w:rFonts w:hint="eastAsia" w:ascii="仿宋" w:hAnsi="仿宋" w:eastAsia="仿宋" w:cs="Times New Roman"/>
          <w:sz w:val="32"/>
          <w:szCs w:val="32"/>
        </w:rPr>
        <w:t>按照《省政府关于重新公布江苏省征地区片综合地价最低标准的通知》</w:t>
      </w:r>
      <w:r>
        <w:rPr>
          <w:rFonts w:hint="eastAsia" w:ascii="仿宋" w:hAnsi="仿宋" w:eastAsia="仿宋" w:cs="Times New Roman"/>
          <w:sz w:val="32"/>
          <w:szCs w:val="32"/>
          <w:lang w:eastAsia="zh-CN"/>
        </w:rPr>
        <w:t>（</w:t>
      </w:r>
      <w:r>
        <w:rPr>
          <w:rFonts w:hint="eastAsia" w:ascii="仿宋" w:hAnsi="仿宋" w:eastAsia="仿宋" w:cs="Times New Roman"/>
          <w:sz w:val="32"/>
          <w:szCs w:val="32"/>
        </w:rPr>
        <w:t>苏政规〔</w:t>
      </w:r>
      <w:r>
        <w:rPr>
          <w:rFonts w:ascii="仿宋" w:hAnsi="仿宋" w:eastAsia="仿宋" w:cs="Times New Roman"/>
          <w:sz w:val="32"/>
          <w:szCs w:val="32"/>
        </w:rPr>
        <w:t>202</w:t>
      </w:r>
      <w:r>
        <w:rPr>
          <w:rFonts w:hint="eastAsia" w:ascii="仿宋" w:hAnsi="仿宋" w:eastAsia="仿宋" w:cs="Times New Roman"/>
          <w:sz w:val="32"/>
          <w:szCs w:val="32"/>
          <w:lang w:val="en-US" w:eastAsia="zh-CN"/>
        </w:rPr>
        <w:t>3</w:t>
      </w:r>
      <w:r>
        <w:rPr>
          <w:rFonts w:ascii="仿宋" w:hAnsi="仿宋" w:eastAsia="仿宋" w:cs="Times New Roman"/>
          <w:sz w:val="32"/>
          <w:szCs w:val="32"/>
        </w:rPr>
        <w:t>〕12号）、《市政府关于重新公布淮安市所辖各县区征地区片综合地价执行标准的通知》（淮政</w:t>
      </w:r>
      <w:r>
        <w:rPr>
          <w:rFonts w:hint="eastAsia" w:ascii="仿宋" w:hAnsi="仿宋" w:eastAsia="仿宋" w:cs="Times New Roman"/>
          <w:sz w:val="32"/>
          <w:szCs w:val="32"/>
          <w:lang w:val="en-US" w:eastAsia="zh-CN"/>
        </w:rPr>
        <w:t>规</w:t>
      </w:r>
      <w:r>
        <w:rPr>
          <w:rFonts w:ascii="仿宋" w:hAnsi="仿宋" w:eastAsia="仿宋" w:cs="Times New Roman"/>
          <w:sz w:val="32"/>
          <w:szCs w:val="32"/>
        </w:rPr>
        <w:t>〔2023〕4号）和《关于调整202</w:t>
      </w:r>
      <w:r>
        <w:rPr>
          <w:rFonts w:hint="eastAsia" w:ascii="仿宋" w:hAnsi="仿宋" w:eastAsia="仿宋" w:cs="Times New Roman"/>
          <w:sz w:val="32"/>
          <w:szCs w:val="32"/>
          <w:lang w:val="en-US" w:eastAsia="zh-CN"/>
        </w:rPr>
        <w:t>5</w:t>
      </w:r>
      <w:r>
        <w:rPr>
          <w:rFonts w:ascii="仿宋" w:hAnsi="仿宋" w:eastAsia="仿宋" w:cs="Times New Roman"/>
          <w:sz w:val="32"/>
          <w:szCs w:val="32"/>
        </w:rPr>
        <w:t>年被征地农民社会保障费用筹资标准的通知》（淮</w:t>
      </w:r>
      <w:r>
        <w:rPr>
          <w:rFonts w:hint="eastAsia" w:ascii="仿宋" w:hAnsi="仿宋" w:eastAsia="仿宋" w:cs="Times New Roman"/>
          <w:sz w:val="32"/>
          <w:szCs w:val="32"/>
          <w:lang w:val="en-US" w:eastAsia="zh-CN"/>
        </w:rPr>
        <w:t>人社发</w:t>
      </w:r>
      <w:r>
        <w:rPr>
          <w:rFonts w:ascii="仿宋" w:hAnsi="仿宋" w:eastAsia="仿宋" w:cs="Times New Roman"/>
          <w:sz w:val="32"/>
          <w:szCs w:val="32"/>
        </w:rPr>
        <w:t>〔2024〕</w:t>
      </w:r>
      <w:r>
        <w:rPr>
          <w:rFonts w:hint="eastAsia" w:ascii="仿宋" w:hAnsi="仿宋" w:eastAsia="仿宋" w:cs="Times New Roman"/>
          <w:sz w:val="32"/>
          <w:szCs w:val="32"/>
          <w:lang w:val="en-US" w:eastAsia="zh-CN"/>
        </w:rPr>
        <w:t>70</w:t>
      </w:r>
      <w:r>
        <w:rPr>
          <w:rFonts w:ascii="仿宋" w:hAnsi="仿宋" w:eastAsia="仿宋" w:cs="Times New Roman"/>
          <w:sz w:val="32"/>
          <w:szCs w:val="32"/>
        </w:rPr>
        <w:t>号）的标准执行。</w:t>
      </w:r>
    </w:p>
    <w:p w14:paraId="6A76BD70">
      <w:pPr>
        <w:spacing w:line="600" w:lineRule="exact"/>
        <w:ind w:firstLine="640" w:firstLineChars="200"/>
        <w:rPr>
          <w:rFonts w:ascii="仿宋" w:hAnsi="仿宋" w:eastAsia="仿宋" w:cs="Times New Roman"/>
          <w:sz w:val="32"/>
          <w:szCs w:val="32"/>
        </w:rPr>
      </w:pPr>
      <w:r>
        <w:rPr>
          <w:rFonts w:ascii="仿宋" w:hAnsi="仿宋" w:eastAsia="仿宋" w:cs="Times New Roman"/>
          <w:sz w:val="32"/>
          <w:szCs w:val="32"/>
        </w:rPr>
        <w:t>2</w:t>
      </w:r>
      <w:r>
        <w:rPr>
          <w:rFonts w:hint="eastAsia" w:ascii="仿宋" w:hAnsi="仿宋" w:eastAsia="仿宋" w:cs="Times New Roman"/>
          <w:sz w:val="32"/>
          <w:szCs w:val="32"/>
        </w:rPr>
        <w:t>.</w:t>
      </w:r>
      <w:r>
        <w:rPr>
          <w:rFonts w:ascii="仿宋" w:hAnsi="仿宋" w:eastAsia="仿宋" w:cs="Times New Roman"/>
          <w:sz w:val="32"/>
          <w:szCs w:val="32"/>
        </w:rPr>
        <w:t>征地安置：</w:t>
      </w:r>
      <w:r>
        <w:rPr>
          <w:rFonts w:hint="eastAsia" w:ascii="仿宋" w:hAnsi="仿宋" w:eastAsia="仿宋" w:cs="Times New Roman"/>
          <w:sz w:val="32"/>
          <w:szCs w:val="32"/>
        </w:rPr>
        <w:t>严格落实经公告确定后的征地安置补偿方案，按法律规定签订征地补偿安置协议，落实安置补偿费用、社会保障等，妥善解决被征地农民的生产和生活保障问题。</w:t>
      </w:r>
    </w:p>
    <w:p w14:paraId="684E68BF">
      <w:pPr>
        <w:spacing w:line="600" w:lineRule="exact"/>
        <w:ind w:firstLine="640" w:firstLineChars="200"/>
        <w:rPr>
          <w:rFonts w:ascii="仿宋" w:hAnsi="仿宋" w:eastAsia="仿宋" w:cs="Times New Roman"/>
          <w:sz w:val="32"/>
          <w:szCs w:val="32"/>
        </w:rPr>
      </w:pPr>
      <w:r>
        <w:rPr>
          <w:rFonts w:ascii="仿宋" w:hAnsi="仿宋" w:eastAsia="仿宋" w:cs="Times New Roman"/>
          <w:sz w:val="32"/>
          <w:szCs w:val="32"/>
        </w:rPr>
        <w:t>3</w:t>
      </w:r>
      <w:r>
        <w:rPr>
          <w:rFonts w:hint="eastAsia" w:ascii="仿宋" w:hAnsi="仿宋" w:eastAsia="仿宋" w:cs="Times New Roman"/>
          <w:sz w:val="32"/>
          <w:szCs w:val="32"/>
        </w:rPr>
        <w:t>.</w:t>
      </w:r>
      <w:r>
        <w:rPr>
          <w:rFonts w:ascii="仿宋" w:hAnsi="仿宋" w:eastAsia="仿宋" w:cs="Times New Roman"/>
          <w:sz w:val="32"/>
          <w:szCs w:val="32"/>
        </w:rPr>
        <w:t>征地程序：</w:t>
      </w:r>
      <w:r>
        <w:rPr>
          <w:rFonts w:hint="eastAsia" w:ascii="仿宋" w:hAnsi="仿宋" w:eastAsia="仿宋" w:cs="Times New Roman"/>
          <w:sz w:val="32"/>
          <w:szCs w:val="32"/>
        </w:rPr>
        <w:t>严格</w:t>
      </w:r>
      <w:r>
        <w:rPr>
          <w:rFonts w:ascii="仿宋" w:hAnsi="仿宋" w:eastAsia="仿宋" w:cs="Times New Roman"/>
          <w:sz w:val="32"/>
          <w:szCs w:val="32"/>
        </w:rPr>
        <w:t>落实相关法律法规</w:t>
      </w:r>
      <w:r>
        <w:rPr>
          <w:rFonts w:hint="eastAsia" w:ascii="仿宋" w:hAnsi="仿宋" w:eastAsia="仿宋" w:cs="Times New Roman"/>
          <w:sz w:val="32"/>
          <w:szCs w:val="32"/>
        </w:rPr>
        <w:t>，按规定发布征收预公告，</w:t>
      </w:r>
      <w:r>
        <w:rPr>
          <w:rFonts w:ascii="仿宋" w:hAnsi="仿宋" w:eastAsia="仿宋" w:cs="Times New Roman"/>
          <w:sz w:val="32"/>
          <w:szCs w:val="32"/>
        </w:rPr>
        <w:t>开展拟征收土地现状调查和社会稳定风险评估</w:t>
      </w:r>
      <w:r>
        <w:rPr>
          <w:rFonts w:hint="eastAsia" w:ascii="仿宋" w:hAnsi="仿宋" w:eastAsia="仿宋" w:cs="Times New Roman"/>
          <w:sz w:val="32"/>
          <w:szCs w:val="32"/>
        </w:rPr>
        <w:t>，</w:t>
      </w:r>
      <w:r>
        <w:rPr>
          <w:rFonts w:ascii="仿宋" w:hAnsi="仿宋" w:eastAsia="仿宋" w:cs="Times New Roman"/>
          <w:sz w:val="32"/>
          <w:szCs w:val="32"/>
        </w:rPr>
        <w:t>拟定征地补偿安置方案并按规定进行公</w:t>
      </w:r>
      <w:r>
        <w:rPr>
          <w:rFonts w:hint="eastAsia" w:ascii="仿宋" w:hAnsi="仿宋" w:eastAsia="仿宋" w:cs="Times New Roman"/>
          <w:sz w:val="32"/>
          <w:szCs w:val="32"/>
        </w:rPr>
        <w:t>告、听证，严格按程序签订征地补偿安置协议。征前相关工作完成后，方可提出征收申请，经有批准权部门批准后发布征收土地公告。</w:t>
      </w:r>
    </w:p>
    <w:p w14:paraId="4B95D4AB">
      <w:pPr>
        <w:spacing w:line="600" w:lineRule="exact"/>
        <w:ind w:firstLine="640" w:firstLineChars="200"/>
        <w:rPr>
          <w:rFonts w:ascii="黑体" w:hAnsi="黑体" w:eastAsia="黑体" w:cs="Times New Roman"/>
          <w:sz w:val="32"/>
          <w:szCs w:val="32"/>
        </w:rPr>
      </w:pPr>
      <w:r>
        <w:rPr>
          <w:rFonts w:hint="eastAsia" w:ascii="黑体" w:hAnsi="黑体" w:eastAsia="黑体" w:cs="Times New Roman"/>
          <w:sz w:val="32"/>
          <w:szCs w:val="32"/>
        </w:rPr>
        <w:t>十、土地利用效益评估</w:t>
      </w:r>
    </w:p>
    <w:p w14:paraId="4E0C787D">
      <w:pPr>
        <w:spacing w:line="60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土地利用效益：</w:t>
      </w:r>
      <w:r>
        <w:rPr>
          <w:rFonts w:hint="eastAsia" w:ascii="仿宋" w:hAnsi="仿宋" w:eastAsia="仿宋" w:cs="Times New Roman"/>
          <w:sz w:val="32"/>
          <w:szCs w:val="32"/>
        </w:rPr>
        <w:t>通过土地成片开发，能</w:t>
      </w:r>
      <w:r>
        <w:rPr>
          <w:rFonts w:ascii="仿宋" w:hAnsi="仿宋" w:eastAsia="仿宋" w:cs="Times New Roman"/>
          <w:sz w:val="32"/>
          <w:szCs w:val="32"/>
        </w:rPr>
        <w:t>有效整合区域内土地资源，促进土地资源</w:t>
      </w:r>
      <w:r>
        <w:rPr>
          <w:rFonts w:hint="eastAsia" w:ascii="仿宋" w:hAnsi="仿宋" w:eastAsia="仿宋" w:cs="Times New Roman"/>
          <w:sz w:val="32"/>
          <w:szCs w:val="32"/>
        </w:rPr>
        <w:t>要素的统筹利用，以最少的土地资源消耗支撑经济社会持续发展。</w:t>
      </w:r>
    </w:p>
    <w:p w14:paraId="4F77417B">
      <w:pPr>
        <w:spacing w:line="60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片区的开发可以有效促进片区优势产业的集聚发展，加快区域经济格局的重构，推动实现产业动能升级转换，助力高质量发展，有力保障片区近期产业发展项目的土地征收报批工作，提升土地利用效率。</w:t>
      </w:r>
    </w:p>
    <w:p w14:paraId="2D17DF01">
      <w:pPr>
        <w:spacing w:line="60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w:t>
      </w:r>
      <w:r>
        <w:rPr>
          <w:rFonts w:ascii="仿宋" w:hAnsi="仿宋" w:eastAsia="仿宋" w:cs="Times New Roman"/>
          <w:sz w:val="32"/>
          <w:szCs w:val="32"/>
        </w:rPr>
        <w:t>经济效益：成片开发片区的建设，有利于促进片区形象的</w:t>
      </w:r>
      <w:r>
        <w:rPr>
          <w:rFonts w:hint="eastAsia" w:ascii="仿宋" w:hAnsi="仿宋" w:eastAsia="仿宋" w:cs="Times New Roman"/>
          <w:sz w:val="32"/>
          <w:szCs w:val="32"/>
        </w:rPr>
        <w:t>提升和城镇功能的完善，为周边广大居民提供宜居的生活空间，同时可带动区域土地资源价值的提升。</w:t>
      </w:r>
    </w:p>
    <w:p w14:paraId="07D3029B">
      <w:pPr>
        <w:spacing w:line="60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成片开发有利于片区所在城镇总体形象的营造及总体规划的执行；能够降低城镇总体开发成本，避免各自为政、遍地开花的局面；成片开发的建设和投产有利于吸收当地农业剩余劳动力，降低就业压力，减轻政府负担；同时建成后的相关企业的生产消费和纳税可促进地方经济，增加政府财政收入。还能节约土地用于基础设施配套、公共设施配套等一级开发的资金。一方面拓展了区域经济发展的空间，为该地区经济带来了新的增长点；另一方面有利于产业和生产要素集聚和区域经济发展整体规划，优化了产业结构，发挥产业规模效应，促进了区域经济的发展。</w:t>
      </w:r>
    </w:p>
    <w:p w14:paraId="4517B499">
      <w:pPr>
        <w:spacing w:line="60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w:t>
      </w:r>
      <w:r>
        <w:rPr>
          <w:rFonts w:ascii="仿宋" w:hAnsi="仿宋" w:eastAsia="仿宋" w:cs="Times New Roman"/>
          <w:sz w:val="32"/>
          <w:szCs w:val="32"/>
        </w:rPr>
        <w:t>社会效益：有利于完善公共服务设施与基础设施、增加就</w:t>
      </w:r>
      <w:r>
        <w:rPr>
          <w:rFonts w:hint="eastAsia" w:ascii="仿宋" w:hAnsi="仿宋" w:eastAsia="仿宋" w:cs="Times New Roman"/>
          <w:sz w:val="32"/>
          <w:szCs w:val="32"/>
        </w:rPr>
        <w:t>业岗位、提高就业率，保障公共利益。</w:t>
      </w:r>
    </w:p>
    <w:p w14:paraId="39782594">
      <w:pPr>
        <w:spacing w:line="60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片区的开发实施有助于产城融合发展。通过完善工业区的配套设施和交通条件，促进产业区和生活区的有机融合，将开发片区的职能由单一开发建设的经济功能，向综合性建设、综合性发展、综合性管理等多功能转变，推进了开发片区和城镇基础设施、产业发展、市场体系、基础公共服务和生态环保一体化建设。</w:t>
      </w:r>
    </w:p>
    <w:p w14:paraId="514669FE">
      <w:pPr>
        <w:spacing w:line="60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4.</w:t>
      </w:r>
      <w:r>
        <w:rPr>
          <w:rFonts w:ascii="仿宋" w:hAnsi="仿宋" w:eastAsia="仿宋" w:cs="Times New Roman"/>
          <w:sz w:val="32"/>
          <w:szCs w:val="32"/>
        </w:rPr>
        <w:t>生态效益：</w:t>
      </w:r>
      <w:r>
        <w:rPr>
          <w:rFonts w:hint="eastAsia" w:ascii="仿宋" w:hAnsi="仿宋" w:eastAsia="仿宋" w:cs="Times New Roman"/>
          <w:sz w:val="32"/>
          <w:szCs w:val="32"/>
        </w:rPr>
        <w:t>片区的开发</w:t>
      </w:r>
      <w:r>
        <w:rPr>
          <w:rFonts w:ascii="仿宋" w:hAnsi="仿宋" w:eastAsia="仿宋" w:cs="Times New Roman"/>
          <w:sz w:val="32"/>
          <w:szCs w:val="32"/>
        </w:rPr>
        <w:t>有利于促进</w:t>
      </w:r>
      <w:r>
        <w:rPr>
          <w:rFonts w:hint="eastAsia" w:ascii="仿宋" w:hAnsi="仿宋" w:eastAsia="仿宋" w:cs="Times New Roman"/>
          <w:sz w:val="32"/>
          <w:szCs w:val="32"/>
        </w:rPr>
        <w:t>区域内</w:t>
      </w:r>
      <w:r>
        <w:rPr>
          <w:rFonts w:ascii="仿宋" w:hAnsi="仿宋" w:eastAsia="仿宋" w:cs="Times New Roman"/>
          <w:sz w:val="32"/>
          <w:szCs w:val="32"/>
        </w:rPr>
        <w:t>生态资源整合、生态功能强</w:t>
      </w:r>
      <w:r>
        <w:rPr>
          <w:rFonts w:hint="eastAsia" w:ascii="仿宋" w:hAnsi="仿宋" w:eastAsia="仿宋" w:cs="Times New Roman"/>
          <w:sz w:val="32"/>
          <w:szCs w:val="32"/>
        </w:rPr>
        <w:t>化与生态景观打造。</w:t>
      </w:r>
    </w:p>
    <w:p w14:paraId="155D1D34">
      <w:pPr>
        <w:spacing w:line="60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通过成片开发将提高开发片区所在地的生态环境质量，</w:t>
      </w:r>
      <w:r>
        <w:rPr>
          <w:rFonts w:ascii="仿宋" w:hAnsi="仿宋" w:eastAsia="仿宋" w:cs="Times New Roman"/>
          <w:sz w:val="32"/>
          <w:szCs w:val="32"/>
        </w:rPr>
        <w:t>完善绿地系统结构，有效恢复生态绿化功能，改变</w:t>
      </w:r>
      <w:r>
        <w:rPr>
          <w:rFonts w:hint="eastAsia" w:ascii="仿宋" w:hAnsi="仿宋" w:eastAsia="仿宋" w:cs="Times New Roman"/>
          <w:sz w:val="32"/>
          <w:szCs w:val="32"/>
        </w:rPr>
        <w:t>区域</w:t>
      </w:r>
      <w:r>
        <w:rPr>
          <w:rFonts w:ascii="仿宋" w:hAnsi="仿宋" w:eastAsia="仿宋" w:cs="Times New Roman"/>
          <w:sz w:val="32"/>
          <w:szCs w:val="32"/>
        </w:rPr>
        <w:t>环境，在减少水域污染、保持水土，涵养水源、降低噪音等</w:t>
      </w:r>
      <w:r>
        <w:rPr>
          <w:rFonts w:hint="eastAsia" w:ascii="仿宋" w:hAnsi="仿宋" w:eastAsia="仿宋" w:cs="Times New Roman"/>
          <w:sz w:val="32"/>
          <w:szCs w:val="32"/>
        </w:rPr>
        <w:t>诸多</w:t>
      </w:r>
      <w:r>
        <w:rPr>
          <w:rFonts w:ascii="仿宋" w:hAnsi="仿宋" w:eastAsia="仿宋" w:cs="Times New Roman"/>
          <w:sz w:val="32"/>
          <w:szCs w:val="32"/>
        </w:rPr>
        <w:t>方面发挥显著作用，实现人与自然、经济发展与资源环境协调，改善</w:t>
      </w:r>
      <w:r>
        <w:rPr>
          <w:rFonts w:hint="eastAsia" w:ascii="仿宋" w:hAnsi="仿宋" w:eastAsia="仿宋" w:cs="Times New Roman"/>
          <w:sz w:val="32"/>
          <w:szCs w:val="32"/>
        </w:rPr>
        <w:t>周边</w:t>
      </w:r>
      <w:r>
        <w:rPr>
          <w:rFonts w:ascii="仿宋" w:hAnsi="仿宋" w:eastAsia="仿宋" w:cs="Times New Roman"/>
          <w:sz w:val="32"/>
          <w:szCs w:val="32"/>
        </w:rPr>
        <w:t>居民居住环境。</w:t>
      </w:r>
    </w:p>
    <w:p w14:paraId="303604E5">
      <w:pPr>
        <w:spacing w:line="600" w:lineRule="exact"/>
        <w:ind w:firstLine="640" w:firstLineChars="200"/>
        <w:rPr>
          <w:rFonts w:ascii="黑体" w:hAnsi="黑体" w:eastAsia="黑体" w:cs="Times New Roman"/>
          <w:sz w:val="32"/>
          <w:szCs w:val="32"/>
        </w:rPr>
      </w:pPr>
      <w:r>
        <w:rPr>
          <w:rFonts w:hint="eastAsia" w:ascii="黑体" w:hAnsi="黑体" w:eastAsia="黑体" w:cs="Times New Roman"/>
          <w:sz w:val="32"/>
          <w:szCs w:val="32"/>
        </w:rPr>
        <w:t>十一、结论</w:t>
      </w:r>
    </w:p>
    <w:p w14:paraId="23669717">
      <w:pPr>
        <w:wordWrap w:val="0"/>
        <w:spacing w:line="60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《高新企业孵化产业园片区（</w:t>
      </w:r>
      <w:r>
        <w:rPr>
          <w:rFonts w:ascii="仿宋" w:hAnsi="仿宋" w:eastAsia="仿宋" w:cs="Times New Roman"/>
          <w:sz w:val="32"/>
          <w:szCs w:val="32"/>
        </w:rPr>
        <w:t>CP320831-2021-01-06）土地征收成片开发调整方案</w:t>
      </w:r>
      <w:r>
        <w:rPr>
          <w:rFonts w:hint="eastAsia" w:ascii="仿宋" w:hAnsi="仿宋" w:eastAsia="仿宋" w:cs="Times New Roman"/>
          <w:sz w:val="32"/>
          <w:szCs w:val="32"/>
        </w:rPr>
        <w:t>》符合自然资源部土地征收成片开发的标准，做到了保护耕地、维护农民合法权益、节约集约用地、保护生态环境，能够促进经济社会可持续发展。</w:t>
      </w:r>
    </w:p>
    <w:p w14:paraId="442C64CD">
      <w:pPr>
        <w:spacing w:line="600" w:lineRule="exact"/>
        <w:ind w:firstLine="640" w:firstLineChars="200"/>
        <w:rPr>
          <w:rFonts w:ascii="仿宋" w:hAnsi="仿宋" w:eastAsia="仿宋" w:cs="Times New Roman"/>
          <w:sz w:val="32"/>
          <w:szCs w:val="32"/>
        </w:rPr>
      </w:pPr>
    </w:p>
    <w:p w14:paraId="4DFA00CE">
      <w:pPr>
        <w:spacing w:line="600" w:lineRule="exact"/>
        <w:ind w:firstLine="640" w:firstLineChars="200"/>
        <w:rPr>
          <w:rFonts w:ascii="仿宋" w:hAnsi="仿宋" w:eastAsia="仿宋" w:cs="Times New Roman"/>
          <w:sz w:val="32"/>
          <w:szCs w:val="32"/>
        </w:rPr>
        <w:sectPr>
          <w:footerReference r:id="rId3" w:type="default"/>
          <w:type w:val="continuous"/>
          <w:pgSz w:w="11907" w:h="16839"/>
          <w:pgMar w:top="1440" w:right="1800" w:bottom="1440" w:left="1800" w:header="851" w:footer="567" w:gutter="0"/>
          <w:pgNumType w:fmt="numberInDash"/>
          <w:cols w:space="425" w:num="1"/>
          <w:docGrid w:type="lines" w:linePitch="312" w:charSpace="0"/>
        </w:sectPr>
      </w:pPr>
    </w:p>
    <w:p w14:paraId="0AA079C0">
      <w:pPr>
        <w:spacing w:line="600" w:lineRule="exact"/>
        <w:rPr>
          <w:rFonts w:ascii="黑体" w:hAnsi="黑体" w:eastAsia="黑体" w:cs="Times New Roman"/>
          <w:sz w:val="32"/>
          <w:szCs w:val="32"/>
        </w:rPr>
      </w:pPr>
      <w:r>
        <w:rPr>
          <w:rFonts w:hint="eastAsia" w:ascii="黑体" w:hAnsi="黑体" w:eastAsia="黑体" w:cs="Times New Roman"/>
          <w:sz w:val="32"/>
          <w:szCs w:val="32"/>
        </w:rPr>
        <w:t>附件：调整后片区信息</w:t>
      </w:r>
    </w:p>
    <w:p w14:paraId="496B6143">
      <w:pPr>
        <w:spacing w:line="600" w:lineRule="exact"/>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高新企业孵化产业园片区</w:t>
      </w:r>
    </w:p>
    <w:p w14:paraId="7954F4E1">
      <w:pPr>
        <w:spacing w:line="600" w:lineRule="exact"/>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调整后</w:t>
      </w:r>
      <w:r>
        <w:rPr>
          <w:rFonts w:ascii="仿宋" w:hAnsi="仿宋" w:eastAsia="仿宋" w:cs="Times New Roman"/>
          <w:sz w:val="32"/>
          <w:szCs w:val="32"/>
        </w:rPr>
        <w:t>片区面积：256.8021公顷。四至</w:t>
      </w:r>
      <w:r>
        <w:rPr>
          <w:rFonts w:hint="eastAsia" w:ascii="仿宋" w:hAnsi="仿宋" w:eastAsia="仿宋" w:cs="Times New Roman"/>
          <w:sz w:val="32"/>
          <w:szCs w:val="32"/>
        </w:rPr>
        <w:t>：北至神华大道，东至衡阳路，南至金宝南线，西至环城西路。</w:t>
      </w:r>
    </w:p>
    <w:p w14:paraId="377F2F1E">
      <w:pPr>
        <w:spacing w:line="600" w:lineRule="exact"/>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（范围以最终批复为准）</w:t>
      </w:r>
    </w:p>
    <w:p w14:paraId="62F2E0C0">
      <w:pPr>
        <w:spacing w:line="600" w:lineRule="exact"/>
        <w:ind w:firstLine="640" w:firstLineChars="200"/>
        <w:jc w:val="left"/>
        <w:rPr>
          <w:rFonts w:ascii="仿宋" w:hAnsi="仿宋" w:eastAsia="仿宋" w:cs="Times New Roman"/>
          <w:sz w:val="32"/>
          <w:szCs w:val="32"/>
        </w:rPr>
      </w:pPr>
    </w:p>
    <w:p w14:paraId="50A80C2F">
      <w:pPr>
        <w:rPr>
          <w:rFonts w:ascii="Times New Roman" w:hAnsi="Times New Roman" w:eastAsia="仿宋_GB2312"/>
          <w:sz w:val="30"/>
        </w:rPr>
      </w:pPr>
      <w:r>
        <w:drawing>
          <wp:inline distT="0" distB="0" distL="0" distR="0">
            <wp:extent cx="5274945" cy="3681730"/>
            <wp:effectExtent l="0" t="0" r="1905" b="0"/>
            <wp:docPr id="1"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示&#10;&#10;AI 生成的内容可能不正确。"/>
                    <pic:cNvPicPr>
                      <a:picLocks noChangeAspect="1" noChangeArrowheads="1"/>
                    </pic:cNvPicPr>
                  </pic:nvPicPr>
                  <pic:blipFill>
                    <a:blip r:embed="rId5" cstate="print">
                      <a:extLst>
                        <a:ext uri="{28A0092B-C50C-407E-A947-70E740481C1C}">
                          <a14:useLocalDpi xmlns:a14="http://schemas.microsoft.com/office/drawing/2010/main" val="0"/>
                        </a:ext>
                      </a:extLst>
                    </a:blip>
                    <a:srcRect t="699" b="699"/>
                    <a:stretch>
                      <a:fillRect/>
                    </a:stretch>
                  </pic:blipFill>
                  <pic:spPr>
                    <a:xfrm>
                      <a:off x="0" y="0"/>
                      <a:ext cx="5274945" cy="3681993"/>
                    </a:xfrm>
                    <a:prstGeom prst="rect">
                      <a:avLst/>
                    </a:prstGeom>
                    <a:noFill/>
                    <a:ln>
                      <a:noFill/>
                    </a:ln>
                  </pic:spPr>
                </pic:pic>
              </a:graphicData>
            </a:graphic>
          </wp:inline>
        </w:drawing>
      </w:r>
    </w:p>
    <w:sectPr>
      <w:pgSz w:w="11907" w:h="16839"/>
      <w:pgMar w:top="1440" w:right="1800" w:bottom="1440" w:left="1800" w:header="851" w:footer="567"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FFD96D8-F925-48A8-8209-75BA2B8CE53B}"/>
  </w:font>
  <w:font w:name="Arial">
    <w:panose1 w:val="020B0604020202020204"/>
    <w:charset w:val="01"/>
    <w:family w:val="swiss"/>
    <w:pitch w:val="default"/>
    <w:sig w:usb0="E0002EFF" w:usb1="C000785B" w:usb2="00000009" w:usb3="00000000" w:csb0="400001FF" w:csb1="FFFF0000"/>
    <w:embedRegular r:id="rId2" w:fontKey="{55CFEEF0-48EB-4561-BE03-025F632F4B26}"/>
  </w:font>
  <w:font w:name="黑体">
    <w:panose1 w:val="02010609060101010101"/>
    <w:charset w:val="86"/>
    <w:family w:val="auto"/>
    <w:pitch w:val="default"/>
    <w:sig w:usb0="800002BF" w:usb1="38CF7CFA" w:usb2="00000016" w:usb3="00000000" w:csb0="00040001" w:csb1="00000000"/>
    <w:embedRegular r:id="rId3" w:fontKey="{DB4FDDBC-3902-4E51-9C41-423CE4FFAFDA}"/>
  </w:font>
  <w:font w:name="Courier New">
    <w:panose1 w:val="02070309020205020404"/>
    <w:charset w:val="01"/>
    <w:family w:val="modern"/>
    <w:pitch w:val="default"/>
    <w:sig w:usb0="E0002EFF" w:usb1="C0007843" w:usb2="00000009" w:usb3="00000000" w:csb0="400001FF" w:csb1="FFFF0000"/>
    <w:embedRegular r:id="rId4" w:fontKey="{00CCBEA0-ABA5-4EA2-B5E0-8C4F14183702}"/>
  </w:font>
  <w:font w:name="Symbol">
    <w:panose1 w:val="05050102010706020507"/>
    <w:charset w:val="02"/>
    <w:family w:val="roman"/>
    <w:pitch w:val="default"/>
    <w:sig w:usb0="00000000" w:usb1="00000000" w:usb2="00000000" w:usb3="00000000" w:csb0="80000000" w:csb1="00000000"/>
    <w:embedRegular r:id="rId5" w:fontKey="{A7E09FCF-CD7F-4244-9191-96C4BFC833D0}"/>
  </w:font>
  <w:font w:name="Calibri">
    <w:panose1 w:val="020F0502020204030204"/>
    <w:charset w:val="00"/>
    <w:family w:val="swiss"/>
    <w:pitch w:val="default"/>
    <w:sig w:usb0="E4002EFF" w:usb1="C000247B" w:usb2="00000009" w:usb3="00000000" w:csb0="200001FF" w:csb1="00000000"/>
    <w:embedRegular r:id="rId6" w:fontKey="{8E4AD38B-9272-415F-B4C5-A86EB10121FF}"/>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7" w:fontKey="{8D28543E-82BB-4E0F-9DD4-9DA1C8F0C2A6}"/>
  </w:font>
  <w:font w:name="楷体">
    <w:panose1 w:val="02010609060101010101"/>
    <w:charset w:val="86"/>
    <w:family w:val="modern"/>
    <w:pitch w:val="default"/>
    <w:sig w:usb0="800002BF" w:usb1="38CF7CFA" w:usb2="00000016" w:usb3="00000000" w:csb0="00040001" w:csb1="00000000"/>
    <w:embedRegular r:id="rId8" w:fontKey="{F01E02F1-F43F-47F1-B57F-40F2D1E5DDCF}"/>
  </w:font>
  <w:font w:name="仿宋">
    <w:panose1 w:val="02010609060101010101"/>
    <w:charset w:val="86"/>
    <w:family w:val="modern"/>
    <w:pitch w:val="default"/>
    <w:sig w:usb0="800002BF" w:usb1="38CF7CFA" w:usb2="00000016" w:usb3="00000000" w:csb0="00040001" w:csb1="00000000"/>
    <w:embedRegular r:id="rId9" w:fontKey="{36CE3D63-0C36-4763-B6E5-0C60E36AC7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74951468"/>
      <w:docPartObj>
        <w:docPartGallery w:val="autotext"/>
      </w:docPartObj>
    </w:sdtPr>
    <w:sdtContent>
      <w:p w14:paraId="4FCD085A">
        <w:pPr>
          <w:pStyle w:val="7"/>
          <w:jc w:val="center"/>
        </w:pPr>
        <w:r>
          <w:fldChar w:fldCharType="begin"/>
        </w:r>
        <w:r>
          <w:instrText xml:space="preserve">PAGE   \* MERGEFORMAT</w:instrText>
        </w:r>
        <w:r>
          <w:fldChar w:fldCharType="separate"/>
        </w:r>
        <w:r>
          <w:rPr>
            <w:lang w:val="zh-CN"/>
          </w:rPr>
          <w:t>-</w:t>
        </w:r>
        <w:r>
          <w:t xml:space="preserve"> 21 -</w:t>
        </w:r>
        <w:r>
          <w:fldChar w:fldCharType="end"/>
        </w:r>
      </w:p>
    </w:sdtContent>
  </w:sdt>
  <w:p w14:paraId="07C65517">
    <w:pPr>
      <w:pStyle w:val="7"/>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doNotCompress"/>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dmMDcwYmIxYmE4YzVmM2E0MjdiYjlhYTIyYTIyMDQifQ=="/>
  </w:docVars>
  <w:rsids>
    <w:rsidRoot w:val="00172A27"/>
    <w:rsid w:val="00000C09"/>
    <w:rsid w:val="000033B3"/>
    <w:rsid w:val="00006FDF"/>
    <w:rsid w:val="0001522E"/>
    <w:rsid w:val="00017AAC"/>
    <w:rsid w:val="00017C34"/>
    <w:rsid w:val="00020BD9"/>
    <w:rsid w:val="000229A7"/>
    <w:rsid w:val="000230CE"/>
    <w:rsid w:val="0002566F"/>
    <w:rsid w:val="00026994"/>
    <w:rsid w:val="00030B25"/>
    <w:rsid w:val="00041551"/>
    <w:rsid w:val="00045088"/>
    <w:rsid w:val="0004621A"/>
    <w:rsid w:val="00052BF6"/>
    <w:rsid w:val="000537E4"/>
    <w:rsid w:val="0005534A"/>
    <w:rsid w:val="000576EE"/>
    <w:rsid w:val="0006141C"/>
    <w:rsid w:val="00062BAB"/>
    <w:rsid w:val="000652E1"/>
    <w:rsid w:val="0007153B"/>
    <w:rsid w:val="0007394C"/>
    <w:rsid w:val="00074A39"/>
    <w:rsid w:val="00080A9F"/>
    <w:rsid w:val="00091F84"/>
    <w:rsid w:val="000A00AE"/>
    <w:rsid w:val="000A5562"/>
    <w:rsid w:val="000A597D"/>
    <w:rsid w:val="000B1739"/>
    <w:rsid w:val="000B1BAB"/>
    <w:rsid w:val="000B2503"/>
    <w:rsid w:val="000B7461"/>
    <w:rsid w:val="000C0577"/>
    <w:rsid w:val="000C3340"/>
    <w:rsid w:val="000D3F94"/>
    <w:rsid w:val="000D4801"/>
    <w:rsid w:val="000E45D6"/>
    <w:rsid w:val="000F7E0A"/>
    <w:rsid w:val="00100C4F"/>
    <w:rsid w:val="00101A31"/>
    <w:rsid w:val="001054F4"/>
    <w:rsid w:val="00120C93"/>
    <w:rsid w:val="00120FE9"/>
    <w:rsid w:val="0013351C"/>
    <w:rsid w:val="0013533F"/>
    <w:rsid w:val="00143749"/>
    <w:rsid w:val="0015495C"/>
    <w:rsid w:val="00156A78"/>
    <w:rsid w:val="00156DA3"/>
    <w:rsid w:val="00161029"/>
    <w:rsid w:val="0016291C"/>
    <w:rsid w:val="00165EFA"/>
    <w:rsid w:val="001664CA"/>
    <w:rsid w:val="0017143D"/>
    <w:rsid w:val="001719B3"/>
    <w:rsid w:val="001729CD"/>
    <w:rsid w:val="00172A27"/>
    <w:rsid w:val="001737F4"/>
    <w:rsid w:val="00175B5E"/>
    <w:rsid w:val="00180E8F"/>
    <w:rsid w:val="00181708"/>
    <w:rsid w:val="0018310B"/>
    <w:rsid w:val="001838A6"/>
    <w:rsid w:val="0018519E"/>
    <w:rsid w:val="001902D4"/>
    <w:rsid w:val="0019468E"/>
    <w:rsid w:val="001A253F"/>
    <w:rsid w:val="001A7624"/>
    <w:rsid w:val="001B3CB0"/>
    <w:rsid w:val="001B6E94"/>
    <w:rsid w:val="001C32AC"/>
    <w:rsid w:val="001D20D2"/>
    <w:rsid w:val="001E1BA9"/>
    <w:rsid w:val="001E622F"/>
    <w:rsid w:val="001F0D1B"/>
    <w:rsid w:val="001F168C"/>
    <w:rsid w:val="001F1746"/>
    <w:rsid w:val="001F1F78"/>
    <w:rsid w:val="001F34DC"/>
    <w:rsid w:val="001F5A05"/>
    <w:rsid w:val="002043A0"/>
    <w:rsid w:val="002059BF"/>
    <w:rsid w:val="00206535"/>
    <w:rsid w:val="00216983"/>
    <w:rsid w:val="00217036"/>
    <w:rsid w:val="00217AEF"/>
    <w:rsid w:val="0022507B"/>
    <w:rsid w:val="0023266D"/>
    <w:rsid w:val="002333F1"/>
    <w:rsid w:val="0023353F"/>
    <w:rsid w:val="002355C6"/>
    <w:rsid w:val="00245934"/>
    <w:rsid w:val="00246B76"/>
    <w:rsid w:val="002478CB"/>
    <w:rsid w:val="00252D4D"/>
    <w:rsid w:val="002559D9"/>
    <w:rsid w:val="00261EB4"/>
    <w:rsid w:val="00265D09"/>
    <w:rsid w:val="00281244"/>
    <w:rsid w:val="00282E07"/>
    <w:rsid w:val="00295A27"/>
    <w:rsid w:val="002A6BDC"/>
    <w:rsid w:val="002B0526"/>
    <w:rsid w:val="002B13D8"/>
    <w:rsid w:val="002B194B"/>
    <w:rsid w:val="002B2C40"/>
    <w:rsid w:val="002C06EB"/>
    <w:rsid w:val="002D39EF"/>
    <w:rsid w:val="002E4268"/>
    <w:rsid w:val="002E4335"/>
    <w:rsid w:val="002E7474"/>
    <w:rsid w:val="002F3185"/>
    <w:rsid w:val="002F3923"/>
    <w:rsid w:val="002F4B3A"/>
    <w:rsid w:val="002F76DD"/>
    <w:rsid w:val="00302323"/>
    <w:rsid w:val="00303643"/>
    <w:rsid w:val="003216EF"/>
    <w:rsid w:val="0033772D"/>
    <w:rsid w:val="0034074B"/>
    <w:rsid w:val="00340B3A"/>
    <w:rsid w:val="00342020"/>
    <w:rsid w:val="00343382"/>
    <w:rsid w:val="0035202D"/>
    <w:rsid w:val="00353535"/>
    <w:rsid w:val="00360743"/>
    <w:rsid w:val="00362986"/>
    <w:rsid w:val="00365780"/>
    <w:rsid w:val="00376368"/>
    <w:rsid w:val="00383AFD"/>
    <w:rsid w:val="00396C3B"/>
    <w:rsid w:val="003A03D0"/>
    <w:rsid w:val="003A3B48"/>
    <w:rsid w:val="003A58A6"/>
    <w:rsid w:val="003A6662"/>
    <w:rsid w:val="003A784A"/>
    <w:rsid w:val="003B6B9D"/>
    <w:rsid w:val="003C3C78"/>
    <w:rsid w:val="003C4C8D"/>
    <w:rsid w:val="003D29DF"/>
    <w:rsid w:val="003D75E2"/>
    <w:rsid w:val="003D7DDD"/>
    <w:rsid w:val="003E4304"/>
    <w:rsid w:val="003F7686"/>
    <w:rsid w:val="004000C1"/>
    <w:rsid w:val="00430BB3"/>
    <w:rsid w:val="00431B51"/>
    <w:rsid w:val="00433C2B"/>
    <w:rsid w:val="00441A26"/>
    <w:rsid w:val="00447536"/>
    <w:rsid w:val="0045546D"/>
    <w:rsid w:val="004556BA"/>
    <w:rsid w:val="0047286F"/>
    <w:rsid w:val="00475241"/>
    <w:rsid w:val="00477292"/>
    <w:rsid w:val="004801F4"/>
    <w:rsid w:val="00481F0D"/>
    <w:rsid w:val="0048613A"/>
    <w:rsid w:val="00486918"/>
    <w:rsid w:val="00486D63"/>
    <w:rsid w:val="00490057"/>
    <w:rsid w:val="00491542"/>
    <w:rsid w:val="004933F9"/>
    <w:rsid w:val="004A3F62"/>
    <w:rsid w:val="004B2C1C"/>
    <w:rsid w:val="004D2CA4"/>
    <w:rsid w:val="004D4869"/>
    <w:rsid w:val="004F0A73"/>
    <w:rsid w:val="005057CC"/>
    <w:rsid w:val="00512C23"/>
    <w:rsid w:val="00516518"/>
    <w:rsid w:val="00517CAF"/>
    <w:rsid w:val="00524501"/>
    <w:rsid w:val="0052663B"/>
    <w:rsid w:val="0053023D"/>
    <w:rsid w:val="00534BED"/>
    <w:rsid w:val="005370EF"/>
    <w:rsid w:val="005379AE"/>
    <w:rsid w:val="0054371B"/>
    <w:rsid w:val="00547569"/>
    <w:rsid w:val="005515E5"/>
    <w:rsid w:val="00552AA6"/>
    <w:rsid w:val="00573B7B"/>
    <w:rsid w:val="00583B85"/>
    <w:rsid w:val="005843B5"/>
    <w:rsid w:val="005914C0"/>
    <w:rsid w:val="00594C9A"/>
    <w:rsid w:val="00594EEE"/>
    <w:rsid w:val="005A1AE4"/>
    <w:rsid w:val="005B7215"/>
    <w:rsid w:val="005B75CD"/>
    <w:rsid w:val="005B7F5F"/>
    <w:rsid w:val="005C3DDC"/>
    <w:rsid w:val="005C68C3"/>
    <w:rsid w:val="005D12E3"/>
    <w:rsid w:val="005E2AE4"/>
    <w:rsid w:val="005E568E"/>
    <w:rsid w:val="005E6AFC"/>
    <w:rsid w:val="005F0B59"/>
    <w:rsid w:val="005F0F8D"/>
    <w:rsid w:val="006034E2"/>
    <w:rsid w:val="00613998"/>
    <w:rsid w:val="00621FCD"/>
    <w:rsid w:val="006243F7"/>
    <w:rsid w:val="006305F6"/>
    <w:rsid w:val="00632FCA"/>
    <w:rsid w:val="00633A25"/>
    <w:rsid w:val="0063698F"/>
    <w:rsid w:val="00645521"/>
    <w:rsid w:val="006501AE"/>
    <w:rsid w:val="00654246"/>
    <w:rsid w:val="006578A2"/>
    <w:rsid w:val="00666B2B"/>
    <w:rsid w:val="00671350"/>
    <w:rsid w:val="006821AF"/>
    <w:rsid w:val="006835D0"/>
    <w:rsid w:val="006B315F"/>
    <w:rsid w:val="006B54F3"/>
    <w:rsid w:val="006B79A0"/>
    <w:rsid w:val="006C242D"/>
    <w:rsid w:val="006C28C0"/>
    <w:rsid w:val="006C381B"/>
    <w:rsid w:val="006C4998"/>
    <w:rsid w:val="006D06B1"/>
    <w:rsid w:val="006D402D"/>
    <w:rsid w:val="006D52B9"/>
    <w:rsid w:val="006E2768"/>
    <w:rsid w:val="006E6C50"/>
    <w:rsid w:val="006E7503"/>
    <w:rsid w:val="006F3605"/>
    <w:rsid w:val="006F5057"/>
    <w:rsid w:val="006F7AA2"/>
    <w:rsid w:val="00701DA0"/>
    <w:rsid w:val="0070428B"/>
    <w:rsid w:val="007060C2"/>
    <w:rsid w:val="00713955"/>
    <w:rsid w:val="00721326"/>
    <w:rsid w:val="00721C5E"/>
    <w:rsid w:val="00723FF0"/>
    <w:rsid w:val="00726354"/>
    <w:rsid w:val="00731011"/>
    <w:rsid w:val="00732700"/>
    <w:rsid w:val="00733158"/>
    <w:rsid w:val="007370EC"/>
    <w:rsid w:val="007427A3"/>
    <w:rsid w:val="007433C0"/>
    <w:rsid w:val="00746D2A"/>
    <w:rsid w:val="00747555"/>
    <w:rsid w:val="0076255B"/>
    <w:rsid w:val="00770A81"/>
    <w:rsid w:val="0077238A"/>
    <w:rsid w:val="00774541"/>
    <w:rsid w:val="00783184"/>
    <w:rsid w:val="00794FAB"/>
    <w:rsid w:val="007A26E9"/>
    <w:rsid w:val="007A27CE"/>
    <w:rsid w:val="007C0518"/>
    <w:rsid w:val="007C4F68"/>
    <w:rsid w:val="007C5C40"/>
    <w:rsid w:val="007C6203"/>
    <w:rsid w:val="007C7DC3"/>
    <w:rsid w:val="007D3B42"/>
    <w:rsid w:val="007D3D2E"/>
    <w:rsid w:val="007D3DDC"/>
    <w:rsid w:val="007D4889"/>
    <w:rsid w:val="007D70E5"/>
    <w:rsid w:val="007E488F"/>
    <w:rsid w:val="007F1A6F"/>
    <w:rsid w:val="0080624C"/>
    <w:rsid w:val="00806C73"/>
    <w:rsid w:val="00806EEC"/>
    <w:rsid w:val="00810947"/>
    <w:rsid w:val="008169F3"/>
    <w:rsid w:val="00821D49"/>
    <w:rsid w:val="00822AB7"/>
    <w:rsid w:val="008267A2"/>
    <w:rsid w:val="00831FFA"/>
    <w:rsid w:val="00836D47"/>
    <w:rsid w:val="008400C8"/>
    <w:rsid w:val="008523DD"/>
    <w:rsid w:val="00852FC1"/>
    <w:rsid w:val="00854859"/>
    <w:rsid w:val="00861784"/>
    <w:rsid w:val="00861C9B"/>
    <w:rsid w:val="00864C7A"/>
    <w:rsid w:val="00874695"/>
    <w:rsid w:val="00875057"/>
    <w:rsid w:val="00882EEE"/>
    <w:rsid w:val="00890F8A"/>
    <w:rsid w:val="00897767"/>
    <w:rsid w:val="008A0297"/>
    <w:rsid w:val="008A152A"/>
    <w:rsid w:val="008A3C00"/>
    <w:rsid w:val="008A5E6C"/>
    <w:rsid w:val="008B3510"/>
    <w:rsid w:val="008B40C3"/>
    <w:rsid w:val="008B569A"/>
    <w:rsid w:val="008B6278"/>
    <w:rsid w:val="008B7569"/>
    <w:rsid w:val="008C39A4"/>
    <w:rsid w:val="008E0814"/>
    <w:rsid w:val="008E0896"/>
    <w:rsid w:val="008E2B11"/>
    <w:rsid w:val="008E2C03"/>
    <w:rsid w:val="008E43E0"/>
    <w:rsid w:val="008E4785"/>
    <w:rsid w:val="008F23D7"/>
    <w:rsid w:val="00901A02"/>
    <w:rsid w:val="00912FAC"/>
    <w:rsid w:val="00926FEA"/>
    <w:rsid w:val="0093201F"/>
    <w:rsid w:val="009332F8"/>
    <w:rsid w:val="00935FFB"/>
    <w:rsid w:val="00942C15"/>
    <w:rsid w:val="00944C7C"/>
    <w:rsid w:val="00952A6C"/>
    <w:rsid w:val="00957B11"/>
    <w:rsid w:val="009748CC"/>
    <w:rsid w:val="00975CD8"/>
    <w:rsid w:val="00995CA0"/>
    <w:rsid w:val="009A3099"/>
    <w:rsid w:val="009A5CCD"/>
    <w:rsid w:val="009A617F"/>
    <w:rsid w:val="009B0B1D"/>
    <w:rsid w:val="009B2C82"/>
    <w:rsid w:val="009D2195"/>
    <w:rsid w:val="009E116F"/>
    <w:rsid w:val="009F0699"/>
    <w:rsid w:val="009F103B"/>
    <w:rsid w:val="00A01E52"/>
    <w:rsid w:val="00A05C90"/>
    <w:rsid w:val="00A071C6"/>
    <w:rsid w:val="00A10032"/>
    <w:rsid w:val="00A173E8"/>
    <w:rsid w:val="00A22866"/>
    <w:rsid w:val="00A22EDC"/>
    <w:rsid w:val="00A232BC"/>
    <w:rsid w:val="00A23DC5"/>
    <w:rsid w:val="00A25AA0"/>
    <w:rsid w:val="00A428FB"/>
    <w:rsid w:val="00A43AA8"/>
    <w:rsid w:val="00A508C9"/>
    <w:rsid w:val="00A55860"/>
    <w:rsid w:val="00A5651A"/>
    <w:rsid w:val="00A70109"/>
    <w:rsid w:val="00A71A21"/>
    <w:rsid w:val="00A72E69"/>
    <w:rsid w:val="00A80151"/>
    <w:rsid w:val="00A85391"/>
    <w:rsid w:val="00A93C94"/>
    <w:rsid w:val="00A942BE"/>
    <w:rsid w:val="00A95D08"/>
    <w:rsid w:val="00AA4566"/>
    <w:rsid w:val="00AB24F5"/>
    <w:rsid w:val="00AC47F4"/>
    <w:rsid w:val="00AC64D6"/>
    <w:rsid w:val="00AD7D2A"/>
    <w:rsid w:val="00AE5EE8"/>
    <w:rsid w:val="00AE697A"/>
    <w:rsid w:val="00AF0D50"/>
    <w:rsid w:val="00B0131B"/>
    <w:rsid w:val="00B03554"/>
    <w:rsid w:val="00B17F64"/>
    <w:rsid w:val="00B22930"/>
    <w:rsid w:val="00B25EDF"/>
    <w:rsid w:val="00B27CFC"/>
    <w:rsid w:val="00B30CCE"/>
    <w:rsid w:val="00B31939"/>
    <w:rsid w:val="00B34DCD"/>
    <w:rsid w:val="00B4037E"/>
    <w:rsid w:val="00B44878"/>
    <w:rsid w:val="00B46D15"/>
    <w:rsid w:val="00B522E0"/>
    <w:rsid w:val="00B525D6"/>
    <w:rsid w:val="00B56237"/>
    <w:rsid w:val="00B570C3"/>
    <w:rsid w:val="00B6013D"/>
    <w:rsid w:val="00B61844"/>
    <w:rsid w:val="00B72A2D"/>
    <w:rsid w:val="00B72F77"/>
    <w:rsid w:val="00B84808"/>
    <w:rsid w:val="00B92B16"/>
    <w:rsid w:val="00BA0E73"/>
    <w:rsid w:val="00BA66BD"/>
    <w:rsid w:val="00BB11FF"/>
    <w:rsid w:val="00BB574B"/>
    <w:rsid w:val="00BC245F"/>
    <w:rsid w:val="00BC3783"/>
    <w:rsid w:val="00BC4AE6"/>
    <w:rsid w:val="00BD05EB"/>
    <w:rsid w:val="00BD0F4C"/>
    <w:rsid w:val="00BD0F80"/>
    <w:rsid w:val="00BD3B16"/>
    <w:rsid w:val="00BD61B9"/>
    <w:rsid w:val="00BF0CD9"/>
    <w:rsid w:val="00BF3245"/>
    <w:rsid w:val="00BF6DE8"/>
    <w:rsid w:val="00C06AE4"/>
    <w:rsid w:val="00C07146"/>
    <w:rsid w:val="00C12C8F"/>
    <w:rsid w:val="00C40B15"/>
    <w:rsid w:val="00C46D5E"/>
    <w:rsid w:val="00C47856"/>
    <w:rsid w:val="00C51178"/>
    <w:rsid w:val="00C63A42"/>
    <w:rsid w:val="00C65441"/>
    <w:rsid w:val="00C65634"/>
    <w:rsid w:val="00C72268"/>
    <w:rsid w:val="00C806C0"/>
    <w:rsid w:val="00C8263D"/>
    <w:rsid w:val="00C82B19"/>
    <w:rsid w:val="00C8416D"/>
    <w:rsid w:val="00C910D0"/>
    <w:rsid w:val="00CA30E7"/>
    <w:rsid w:val="00CA320E"/>
    <w:rsid w:val="00CB3965"/>
    <w:rsid w:val="00CB713A"/>
    <w:rsid w:val="00CB7E99"/>
    <w:rsid w:val="00CC150F"/>
    <w:rsid w:val="00CC48BE"/>
    <w:rsid w:val="00CD0A5F"/>
    <w:rsid w:val="00CD0B60"/>
    <w:rsid w:val="00CD0EF1"/>
    <w:rsid w:val="00CD47EC"/>
    <w:rsid w:val="00CD5FFE"/>
    <w:rsid w:val="00CF751E"/>
    <w:rsid w:val="00CF7652"/>
    <w:rsid w:val="00D041D9"/>
    <w:rsid w:val="00D274CA"/>
    <w:rsid w:val="00D408D7"/>
    <w:rsid w:val="00D43657"/>
    <w:rsid w:val="00D51476"/>
    <w:rsid w:val="00D542FD"/>
    <w:rsid w:val="00D54EEB"/>
    <w:rsid w:val="00D6297A"/>
    <w:rsid w:val="00D631C5"/>
    <w:rsid w:val="00D6326B"/>
    <w:rsid w:val="00D64AD7"/>
    <w:rsid w:val="00D64F0E"/>
    <w:rsid w:val="00D6513F"/>
    <w:rsid w:val="00D72915"/>
    <w:rsid w:val="00D76AC8"/>
    <w:rsid w:val="00D77FF1"/>
    <w:rsid w:val="00D8435D"/>
    <w:rsid w:val="00D84B7D"/>
    <w:rsid w:val="00D874FC"/>
    <w:rsid w:val="00D96D52"/>
    <w:rsid w:val="00DA47D6"/>
    <w:rsid w:val="00DA7CB8"/>
    <w:rsid w:val="00DB1E43"/>
    <w:rsid w:val="00DB1ED3"/>
    <w:rsid w:val="00DB33A6"/>
    <w:rsid w:val="00DB722A"/>
    <w:rsid w:val="00DC0CAA"/>
    <w:rsid w:val="00DC1B89"/>
    <w:rsid w:val="00DC6138"/>
    <w:rsid w:val="00DD05F1"/>
    <w:rsid w:val="00DD2EB7"/>
    <w:rsid w:val="00DD51D2"/>
    <w:rsid w:val="00DD6CF3"/>
    <w:rsid w:val="00DE76AA"/>
    <w:rsid w:val="00E06B7A"/>
    <w:rsid w:val="00E06E16"/>
    <w:rsid w:val="00E07901"/>
    <w:rsid w:val="00E102EF"/>
    <w:rsid w:val="00E17B57"/>
    <w:rsid w:val="00E20080"/>
    <w:rsid w:val="00E22179"/>
    <w:rsid w:val="00E25988"/>
    <w:rsid w:val="00E26BA1"/>
    <w:rsid w:val="00E33CAA"/>
    <w:rsid w:val="00E47591"/>
    <w:rsid w:val="00E51E96"/>
    <w:rsid w:val="00E53026"/>
    <w:rsid w:val="00E564A9"/>
    <w:rsid w:val="00E57CCB"/>
    <w:rsid w:val="00E650A2"/>
    <w:rsid w:val="00E7689A"/>
    <w:rsid w:val="00E80370"/>
    <w:rsid w:val="00E830EB"/>
    <w:rsid w:val="00E842AE"/>
    <w:rsid w:val="00E852BE"/>
    <w:rsid w:val="00E90DD1"/>
    <w:rsid w:val="00E91280"/>
    <w:rsid w:val="00E91881"/>
    <w:rsid w:val="00E96307"/>
    <w:rsid w:val="00EA2E88"/>
    <w:rsid w:val="00EA3569"/>
    <w:rsid w:val="00EA6C45"/>
    <w:rsid w:val="00EB463E"/>
    <w:rsid w:val="00EB669D"/>
    <w:rsid w:val="00EC3742"/>
    <w:rsid w:val="00EC6385"/>
    <w:rsid w:val="00EC760B"/>
    <w:rsid w:val="00ED62C6"/>
    <w:rsid w:val="00EE1AA0"/>
    <w:rsid w:val="00EE6C85"/>
    <w:rsid w:val="00EF7B0C"/>
    <w:rsid w:val="00F00740"/>
    <w:rsid w:val="00F127F1"/>
    <w:rsid w:val="00F31152"/>
    <w:rsid w:val="00F517EF"/>
    <w:rsid w:val="00F51AA5"/>
    <w:rsid w:val="00F533DF"/>
    <w:rsid w:val="00F608D3"/>
    <w:rsid w:val="00F84EAF"/>
    <w:rsid w:val="00F903E5"/>
    <w:rsid w:val="00F9085C"/>
    <w:rsid w:val="00F92219"/>
    <w:rsid w:val="00F97C47"/>
    <w:rsid w:val="00FB6E44"/>
    <w:rsid w:val="00FC23F5"/>
    <w:rsid w:val="00FC2F4D"/>
    <w:rsid w:val="00FC3581"/>
    <w:rsid w:val="00FC3F98"/>
    <w:rsid w:val="00FC569C"/>
    <w:rsid w:val="00FF0658"/>
    <w:rsid w:val="00FF4616"/>
    <w:rsid w:val="0BE531DA"/>
    <w:rsid w:val="0CD540D5"/>
    <w:rsid w:val="0FC6114A"/>
    <w:rsid w:val="123245ED"/>
    <w:rsid w:val="12B55EEF"/>
    <w:rsid w:val="148368D6"/>
    <w:rsid w:val="161F618A"/>
    <w:rsid w:val="16E12B32"/>
    <w:rsid w:val="1705209A"/>
    <w:rsid w:val="17E22EAB"/>
    <w:rsid w:val="196F567B"/>
    <w:rsid w:val="1AF45496"/>
    <w:rsid w:val="1D16494E"/>
    <w:rsid w:val="1D7A45EE"/>
    <w:rsid w:val="1DCD6960"/>
    <w:rsid w:val="2024701F"/>
    <w:rsid w:val="20AA3AD3"/>
    <w:rsid w:val="2110329F"/>
    <w:rsid w:val="25521A67"/>
    <w:rsid w:val="27E46B57"/>
    <w:rsid w:val="2AAD6373"/>
    <w:rsid w:val="2BF7678E"/>
    <w:rsid w:val="2C881862"/>
    <w:rsid w:val="2E2C1182"/>
    <w:rsid w:val="2E960B43"/>
    <w:rsid w:val="2F0F103A"/>
    <w:rsid w:val="32030242"/>
    <w:rsid w:val="33D72F47"/>
    <w:rsid w:val="33DE2E78"/>
    <w:rsid w:val="398A41CF"/>
    <w:rsid w:val="3A9865AC"/>
    <w:rsid w:val="3C6777EE"/>
    <w:rsid w:val="3E426AB0"/>
    <w:rsid w:val="3F993678"/>
    <w:rsid w:val="43B57646"/>
    <w:rsid w:val="45760FC0"/>
    <w:rsid w:val="478E35A7"/>
    <w:rsid w:val="4A5036DD"/>
    <w:rsid w:val="4C324162"/>
    <w:rsid w:val="516033A8"/>
    <w:rsid w:val="547C62B2"/>
    <w:rsid w:val="56D91C93"/>
    <w:rsid w:val="5855720E"/>
    <w:rsid w:val="59AB1EEB"/>
    <w:rsid w:val="5A501A2F"/>
    <w:rsid w:val="5D6E61FB"/>
    <w:rsid w:val="65E77739"/>
    <w:rsid w:val="69C14634"/>
    <w:rsid w:val="6D943EDD"/>
    <w:rsid w:val="6DAB23A0"/>
    <w:rsid w:val="7140227F"/>
    <w:rsid w:val="74F15189"/>
    <w:rsid w:val="75703253"/>
    <w:rsid w:val="76726815"/>
    <w:rsid w:val="7B260AB7"/>
    <w:rsid w:val="7C1541EA"/>
    <w:rsid w:val="7E9B54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9"/>
    <w:autoRedefine/>
    <w:qFormat/>
    <w:uiPriority w:val="9"/>
    <w:pPr>
      <w:keepNext/>
      <w:keepLines/>
      <w:spacing w:before="312" w:beforeLines="100" w:after="312" w:afterLines="100" w:line="360" w:lineRule="auto"/>
      <w:jc w:val="left"/>
      <w:outlineLvl w:val="0"/>
    </w:pPr>
    <w:rPr>
      <w:rFonts w:ascii="黑体" w:hAnsi="黑体" w:eastAsia="黑体"/>
      <w:b/>
      <w:bCs/>
      <w:kern w:val="44"/>
      <w:sz w:val="32"/>
      <w:szCs w:val="32"/>
    </w:rPr>
  </w:style>
  <w:style w:type="paragraph" w:styleId="3">
    <w:name w:val="heading 2"/>
    <w:basedOn w:val="1"/>
    <w:next w:val="1"/>
    <w:link w:val="20"/>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17"/>
    <w:autoRedefine/>
    <w:semiHidden/>
    <w:unhideWhenUsed/>
    <w:qFormat/>
    <w:uiPriority w:val="99"/>
    <w:pPr>
      <w:jc w:val="left"/>
    </w:pPr>
  </w:style>
  <w:style w:type="paragraph" w:styleId="5">
    <w:name w:val="Body Text"/>
    <w:basedOn w:val="1"/>
    <w:link w:val="21"/>
    <w:unhideWhenUsed/>
    <w:qFormat/>
    <w:uiPriority w:val="99"/>
    <w:pPr>
      <w:widowControl/>
      <w:spacing w:after="120"/>
      <w:jc w:val="left"/>
    </w:pPr>
    <w:rPr>
      <w:szCs w:val="24"/>
    </w:rPr>
  </w:style>
  <w:style w:type="paragraph" w:styleId="6">
    <w:name w:val="Balloon Text"/>
    <w:basedOn w:val="1"/>
    <w:link w:val="16"/>
    <w:autoRedefine/>
    <w:semiHidden/>
    <w:unhideWhenUsed/>
    <w:qFormat/>
    <w:uiPriority w:val="99"/>
    <w:rPr>
      <w:sz w:val="18"/>
      <w:szCs w:val="18"/>
    </w:rPr>
  </w:style>
  <w:style w:type="paragraph" w:styleId="7">
    <w:name w:val="footer"/>
    <w:basedOn w:val="1"/>
    <w:link w:val="14"/>
    <w:autoRedefine/>
    <w:unhideWhenUsed/>
    <w:qFormat/>
    <w:uiPriority w:val="99"/>
    <w:pPr>
      <w:tabs>
        <w:tab w:val="center" w:pos="4153"/>
        <w:tab w:val="right" w:pos="8306"/>
      </w:tabs>
      <w:snapToGrid w:val="0"/>
      <w:jc w:val="left"/>
    </w:pPr>
    <w:rPr>
      <w:sz w:val="18"/>
      <w:szCs w:val="18"/>
    </w:rPr>
  </w:style>
  <w:style w:type="paragraph" w:styleId="8">
    <w:name w:val="header"/>
    <w:basedOn w:val="1"/>
    <w:link w:val="13"/>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annotation subject"/>
    <w:basedOn w:val="4"/>
    <w:next w:val="4"/>
    <w:link w:val="18"/>
    <w:autoRedefine/>
    <w:semiHidden/>
    <w:unhideWhenUsed/>
    <w:qFormat/>
    <w:uiPriority w:val="99"/>
    <w:rPr>
      <w:b/>
      <w:bCs/>
    </w:rPr>
  </w:style>
  <w:style w:type="character" w:styleId="12">
    <w:name w:val="annotation reference"/>
    <w:basedOn w:val="11"/>
    <w:autoRedefine/>
    <w:semiHidden/>
    <w:unhideWhenUsed/>
    <w:qFormat/>
    <w:uiPriority w:val="99"/>
    <w:rPr>
      <w:sz w:val="21"/>
      <w:szCs w:val="21"/>
    </w:rPr>
  </w:style>
  <w:style w:type="character" w:customStyle="1" w:styleId="13">
    <w:name w:val="页眉 字符"/>
    <w:basedOn w:val="11"/>
    <w:link w:val="8"/>
    <w:autoRedefine/>
    <w:qFormat/>
    <w:uiPriority w:val="99"/>
    <w:rPr>
      <w:sz w:val="18"/>
      <w:szCs w:val="18"/>
    </w:rPr>
  </w:style>
  <w:style w:type="character" w:customStyle="1" w:styleId="14">
    <w:name w:val="页脚 字符"/>
    <w:basedOn w:val="11"/>
    <w:link w:val="7"/>
    <w:autoRedefine/>
    <w:qFormat/>
    <w:uiPriority w:val="99"/>
    <w:rPr>
      <w:sz w:val="18"/>
      <w:szCs w:val="18"/>
    </w:rPr>
  </w:style>
  <w:style w:type="paragraph" w:styleId="15">
    <w:name w:val="List Paragraph"/>
    <w:basedOn w:val="1"/>
    <w:autoRedefine/>
    <w:qFormat/>
    <w:uiPriority w:val="34"/>
    <w:pPr>
      <w:ind w:firstLine="420" w:firstLineChars="200"/>
    </w:pPr>
  </w:style>
  <w:style w:type="character" w:customStyle="1" w:styleId="16">
    <w:name w:val="批注框文本 字符"/>
    <w:basedOn w:val="11"/>
    <w:link w:val="6"/>
    <w:autoRedefine/>
    <w:semiHidden/>
    <w:qFormat/>
    <w:uiPriority w:val="99"/>
    <w:rPr>
      <w:rFonts w:asciiTheme="minorHAnsi" w:hAnsiTheme="minorHAnsi" w:eastAsiaTheme="minorEastAsia" w:cstheme="minorBidi"/>
      <w:kern w:val="2"/>
      <w:sz w:val="18"/>
      <w:szCs w:val="18"/>
    </w:rPr>
  </w:style>
  <w:style w:type="character" w:customStyle="1" w:styleId="17">
    <w:name w:val="批注文字 字符"/>
    <w:basedOn w:val="11"/>
    <w:link w:val="4"/>
    <w:autoRedefine/>
    <w:semiHidden/>
    <w:qFormat/>
    <w:uiPriority w:val="99"/>
    <w:rPr>
      <w:rFonts w:asciiTheme="minorHAnsi" w:hAnsiTheme="minorHAnsi" w:eastAsiaTheme="minorEastAsia" w:cstheme="minorBidi"/>
      <w:kern w:val="2"/>
      <w:sz w:val="21"/>
      <w:szCs w:val="22"/>
    </w:rPr>
  </w:style>
  <w:style w:type="character" w:customStyle="1" w:styleId="18">
    <w:name w:val="批注主题 字符"/>
    <w:basedOn w:val="17"/>
    <w:link w:val="9"/>
    <w:autoRedefine/>
    <w:semiHidden/>
    <w:qFormat/>
    <w:uiPriority w:val="99"/>
    <w:rPr>
      <w:rFonts w:asciiTheme="minorHAnsi" w:hAnsiTheme="minorHAnsi" w:eastAsiaTheme="minorEastAsia" w:cstheme="minorBidi"/>
      <w:b/>
      <w:bCs/>
      <w:kern w:val="2"/>
      <w:sz w:val="21"/>
      <w:szCs w:val="22"/>
    </w:rPr>
  </w:style>
  <w:style w:type="character" w:customStyle="1" w:styleId="19">
    <w:name w:val="标题 1 字符"/>
    <w:basedOn w:val="11"/>
    <w:link w:val="2"/>
    <w:qFormat/>
    <w:uiPriority w:val="9"/>
    <w:rPr>
      <w:rFonts w:ascii="黑体" w:hAnsi="黑体" w:eastAsia="黑体" w:cstheme="minorBidi"/>
      <w:b/>
      <w:bCs/>
      <w:kern w:val="44"/>
      <w:sz w:val="32"/>
      <w:szCs w:val="32"/>
    </w:rPr>
  </w:style>
  <w:style w:type="character" w:customStyle="1" w:styleId="20">
    <w:name w:val="标题 2 字符"/>
    <w:basedOn w:val="11"/>
    <w:link w:val="3"/>
    <w:semiHidden/>
    <w:qFormat/>
    <w:uiPriority w:val="9"/>
    <w:rPr>
      <w:rFonts w:asciiTheme="majorHAnsi" w:hAnsiTheme="majorHAnsi" w:eastAsiaTheme="majorEastAsia" w:cstheme="majorBidi"/>
      <w:b/>
      <w:bCs/>
      <w:kern w:val="2"/>
      <w:sz w:val="32"/>
      <w:szCs w:val="32"/>
    </w:rPr>
  </w:style>
  <w:style w:type="character" w:customStyle="1" w:styleId="21">
    <w:name w:val="正文文本 字符"/>
    <w:basedOn w:val="11"/>
    <w:link w:val="5"/>
    <w:qFormat/>
    <w:uiPriority w:val="99"/>
    <w:rPr>
      <w:rFonts w:asciiTheme="minorHAnsi" w:hAnsiTheme="minorHAnsi" w:eastAsiaTheme="minorEastAsia" w:cstheme="minorBidi"/>
      <w:kern w:val="2"/>
      <w:sz w:val="21"/>
      <w:szCs w:val="24"/>
    </w:rPr>
  </w:style>
  <w:style w:type="character" w:customStyle="1" w:styleId="22">
    <w:name w:val="三调正文 字符"/>
    <w:basedOn w:val="11"/>
    <w:link w:val="23"/>
    <w:autoRedefine/>
    <w:qFormat/>
    <w:uiPriority w:val="0"/>
    <w:rPr>
      <w:rFonts w:ascii="宋体" w:hAnsi="宋体" w:cs="仿宋_GB2312"/>
      <w:sz w:val="28"/>
      <w:szCs w:val="28"/>
    </w:rPr>
  </w:style>
  <w:style w:type="paragraph" w:customStyle="1" w:styleId="23">
    <w:name w:val="三调正文"/>
    <w:basedOn w:val="1"/>
    <w:link w:val="22"/>
    <w:autoRedefine/>
    <w:qFormat/>
    <w:uiPriority w:val="0"/>
    <w:pPr>
      <w:widowControl/>
      <w:spacing w:line="500" w:lineRule="exact"/>
      <w:ind w:firstLine="200" w:firstLineChars="200"/>
      <w:jc w:val="left"/>
    </w:pPr>
    <w:rPr>
      <w:rFonts w:ascii="宋体" w:hAnsi="宋体" w:eastAsia="宋体" w:cs="仿宋_GB2312"/>
      <w:kern w:val="0"/>
      <w:sz w:val="28"/>
      <w:szCs w:val="2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China</Company>
  <Pages>9</Pages>
  <Words>3603</Words>
  <Characters>3824</Characters>
  <Lines>27</Lines>
  <Paragraphs>7</Paragraphs>
  <TotalTime>2</TotalTime>
  <ScaleCrop>false</ScaleCrop>
  <LinksUpToDate>false</LinksUpToDate>
  <CharactersWithSpaces>3825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2025-05-12T11:38:00Z</dcterms:created>
  <dc:creator>jy1</dc:creator>
  <cp:lastModifiedBy>优可</cp:lastModifiedBy>
  <cp:lastPrinted>2025-03-11T07:01:00Z</cp:lastPrinted>
  <dcterms:modified xsi:type="dcterms:W3CDTF">2025-06-26T01:10:08Z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3B063237579E4FFF9655A28795632BCB</vt:lpwstr>
  </property>
  <property fmtid="{D5CDD505-2E9C-101B-9397-08002B2CF9AE}" pid="4" name="KSOSaveFontToCloudKey">
    <vt:lpwstr>201864169_embed</vt:lpwstr>
  </property>
  <property fmtid="{D5CDD505-2E9C-101B-9397-08002B2CF9AE}" pid="5" name="KSOTemplateDocerSaveRecord">
    <vt:lpwstr>eyJoZGlkIjoiYmI5NThhYzQwM2RmMTk2N2NkNGRiMTQ1ODYwNDgzMmQiLCJ1c2VySWQiOiI1ODY4MDY3ODgifQ==</vt:lpwstr>
  </property>
</Properties>
</file>