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39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strike w:val="0"/>
          <w:dstrike w:val="0"/>
          <w:color w:val="auto"/>
          <w:spacing w:val="18"/>
          <w:sz w:val="44"/>
          <w:szCs w:val="44"/>
          <w:highlight w:val="none"/>
          <w:u w:val="none"/>
          <w:lang w:val="en-US" w:eastAsia="zh-CN"/>
        </w:rPr>
      </w:pPr>
    </w:p>
    <w:p w14:paraId="4AFD5D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strike w:val="0"/>
          <w:dstrike w:val="0"/>
          <w:color w:val="auto"/>
          <w:spacing w:val="18"/>
          <w:sz w:val="44"/>
          <w:szCs w:val="44"/>
          <w:highlight w:val="none"/>
          <w:u w:val="none"/>
          <w:lang w:val="en-US" w:eastAsia="zh-CN"/>
        </w:rPr>
      </w:pPr>
    </w:p>
    <w:p w14:paraId="63C69C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  <w:lang w:val="en-US" w:eastAsia="zh-CN"/>
        </w:rPr>
        <w:t>金湖县县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</w:rPr>
        <w:t>级政府投资项目管理办法</w:t>
      </w:r>
    </w:p>
    <w:p w14:paraId="70E2A3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pacing w:val="18"/>
          <w:sz w:val="44"/>
          <w:szCs w:val="44"/>
          <w:highlight w:val="none"/>
          <w:u w:val="none"/>
          <w:lang w:eastAsia="zh-CN"/>
        </w:rPr>
        <w:t>）</w:t>
      </w:r>
    </w:p>
    <w:p w14:paraId="0DC74E3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strike w:val="0"/>
          <w:dstrike w:val="0"/>
          <w:color w:val="auto"/>
          <w:spacing w:val="4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 w14:paraId="6B70AA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</w:pPr>
    </w:p>
    <w:p w14:paraId="7DBCAE3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59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为了加强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政府投资项目全生命周期管理，规范政府投资行为，进一步提高政府投资效益，根据国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务院《政府投资条例》、《江苏省政府投资管理办法》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淮安市市级政府投资</w:t>
      </w: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管理办法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及有关规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定，结合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本县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实际，制定本办法。</w:t>
      </w:r>
    </w:p>
    <w:p w14:paraId="500747E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15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pacing w:val="128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本办法所称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政府投资项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目，是指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本县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行政区域内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15"/>
          <w:sz w:val="32"/>
          <w:szCs w:val="32"/>
          <w:highlight w:val="none"/>
          <w:u w:val="none"/>
          <w:lang w:eastAsia="zh-CN"/>
        </w:rPr>
        <w:t>财政性资金进行固定资产投资的建设项目，包括新建、扩建、改建等项目。</w:t>
      </w:r>
    </w:p>
    <w:p w14:paraId="7103A45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政府投资项目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应当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符合国民经济和社会发展规划、国土空间总体规划和专项发展规划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与经济社会发展水平和财政收支状况相适应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，统筹安排并规范使用政府投资资金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应当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主要</w:t>
      </w:r>
      <w:r>
        <w:rPr>
          <w:rFonts w:hint="eastAsia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投向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highlight w:val="none"/>
          <w:u w:val="none"/>
        </w:rPr>
        <w:t>场不能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有效配置资源的社会公益服务、公共基础设施、农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业农村、生态环境保护、重大科技进步、社会管理、国家安全等公共领域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highlight w:val="none"/>
          <w:u w:val="none"/>
        </w:rPr>
        <w:t>，以非经营性为主</w:t>
      </w:r>
      <w:r>
        <w:rPr>
          <w:rFonts w:hint="eastAsia" w:ascii="Times New Roman" w:hAnsi="Times New Roman" w:eastAsia="仿宋_GB2312" w:cs="Times New Roman"/>
          <w:color w:val="auto"/>
          <w:spacing w:val="1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  <w:highlight w:val="none"/>
          <w:u w:val="none"/>
        </w:rPr>
        <w:t>严禁违规建设楼堂馆所，严禁建设“形象工程”“政绩工程”。</w:t>
      </w:r>
    </w:p>
    <w:p w14:paraId="58A8C9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59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43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发改委履行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政府投资综合管理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职责，负责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政府投资项目储备管理、立项审批、协调推进、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评估督查等，根据财政承受能力论证结果提出纳入年度投资计划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  <w:u w:val="none"/>
        </w:rPr>
        <w:t>项目建议。</w:t>
      </w:r>
    </w:p>
    <w:p w14:paraId="63AAA9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财政局为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政府投资资金综合管理部门，负责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审核拟纳入储备库和政府投资计划项目建设资金需求及资金来源，并出具财政承受能力论证意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</w:rPr>
        <w:t>见；负责项目预算评审、投资评审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</w:rPr>
        <w:t>匡、估、概算，工程进度款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和竣工财务决算审批，对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政府投资项目资金实行统一管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理、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专款专用、全程监管。</w:t>
      </w:r>
    </w:p>
    <w:p w14:paraId="23CF78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审计局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教体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局、资规局、住建局、交通局、水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局、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卫健委、文广旅游局、数据局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金湖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生态环境局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等有关部门，按照各自职责对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highlight w:val="none"/>
          <w:u w:val="none"/>
        </w:rPr>
        <w:t>政府投资项目履行审批、行业管理和监督等职责。</w:t>
      </w:r>
    </w:p>
    <w:p w14:paraId="3B02F5D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95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3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13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3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政府投资项目年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</w:rPr>
        <w:t>度计划应当和本级预算相衔接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</w:rPr>
        <w:t>要严格执行经批准的政府投资年度计划，未列入计划的政府投资项目不得实施、不得进入工程招标投标程序。</w:t>
      </w:r>
    </w:p>
    <w:p w14:paraId="1C72C9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编制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</w:rPr>
        <w:t>政府投资年度计划应当履行下列程序：</w:t>
      </w:r>
    </w:p>
    <w:p w14:paraId="21C0C94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每年</w:t>
      </w:r>
      <w:r>
        <w:rPr>
          <w:rFonts w:hint="eastAsia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九月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有关部门向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发改委提出纳入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highlight w:val="none"/>
          <w:u w:val="none"/>
        </w:rPr>
        <w:t>政府投资项目年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  <w:u w:val="none"/>
        </w:rPr>
        <w:t>度计划的申请；</w:t>
      </w:r>
    </w:p>
    <w:p w14:paraId="4032DBF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724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21"/>
          <w:sz w:val="32"/>
          <w:szCs w:val="32"/>
          <w:highlight w:val="none"/>
          <w:u w:val="none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21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每年四季度，县发改委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会同县财政局根据年度财政承受能力，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对三类项目（政府采取直接投资、资本金注入方式投入的，可行性研究报告已经批准或投资概算已经核定的项目；政府采取投资补助、贷款贴息等方式投入的，已经按照国家有关规定办理手续的项目；经县委、县政府确定实施的项目）进行汇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形成下一年度县级政府投资计划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草案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；</w:t>
      </w:r>
    </w:p>
    <w:p w14:paraId="3916A62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县级政府投资计划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草案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政府常务</w:t>
      </w:r>
      <w:r>
        <w:rPr>
          <w:rFonts w:hint="eastAsia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  <w:lang w:val="en-US" w:eastAsia="zh-CN"/>
        </w:rPr>
        <w:t>会议、县委常委会（扩大）会议研究同意，报县人代会</w:t>
      </w:r>
      <w:r>
        <w:rPr>
          <w:rFonts w:hint="default" w:ascii="Times New Roman" w:hAnsi="Times New Roman" w:eastAsia="仿宋_GB2312" w:cs="Times New Roman"/>
          <w:color w:val="auto"/>
          <w:spacing w:val="31"/>
          <w:sz w:val="32"/>
          <w:szCs w:val="32"/>
          <w:highlight w:val="none"/>
          <w:u w:val="none"/>
        </w:rPr>
        <w:t>审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议通过后，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val="en-US" w:eastAsia="zh-CN"/>
        </w:rPr>
        <w:t>由县政府</w:t>
      </w:r>
      <w:r>
        <w:rPr>
          <w:rFonts w:hint="eastAsia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政府投资年度计划，作为实施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的依据。</w:t>
      </w:r>
    </w:p>
    <w:p w14:paraId="216359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92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项目单位应当严格执行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政府投资年度计划，不得随意调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</w:rPr>
        <w:t>整。确需调整的，由主管部门或者项目单位</w:t>
      </w:r>
      <w:r>
        <w:rPr>
          <w:rFonts w:hint="eastAsia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  <w:lang w:val="en-US" w:eastAsia="zh-CN"/>
        </w:rPr>
        <w:t>按原批准程序进行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  <w:u w:val="none"/>
        </w:rPr>
        <w:t>调整。</w:t>
      </w:r>
    </w:p>
    <w:p w14:paraId="7E38DB1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right="0" w:firstLine="687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</w:rPr>
        <w:t xml:space="preserve">  除涉及国家秘密的项目外，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</w:rPr>
        <w:t>发改委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应当通过投资项目在线审批监管平台生成项目代码，办理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>政府投资项目审批手续。</w:t>
      </w:r>
    </w:p>
    <w:p w14:paraId="60970FA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61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项目建议书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可行性研究报告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初步设计及概算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的编制、审批、变更及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简化审批程序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，按照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国务院《政府投资条例》、《江苏省政府投资管理办法》、《淮安市市级政府投资项目管理办法》执行。</w:t>
      </w:r>
    </w:p>
    <w:p w14:paraId="1BC453B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57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发改委对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有下列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不符合规定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情形之一的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政府投资项目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不予批准，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应当书面通知项目单位。</w:t>
      </w:r>
    </w:p>
    <w:p w14:paraId="66522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638" w:leftChars="304" w:right="0" w:righ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5"/>
          <w:kern w:val="0"/>
          <w:sz w:val="32"/>
          <w:szCs w:val="32"/>
          <w:highlight w:val="none"/>
          <w:u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未经批准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或者不符合规定的建设条件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开工建设的；（二）未列入政府投资年度计划且建设资金未落实的；</w:t>
      </w:r>
    </w:p>
    <w:p w14:paraId="7AEDD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right="0" w:rightChars="0" w:firstLine="70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（三）其他不符合国家、省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县相关规定的。</w:t>
      </w:r>
    </w:p>
    <w:p w14:paraId="201EF84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87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u w:val="none"/>
        </w:rPr>
        <w:t>政府投资项目开工建设，应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当符合有关法律、行政法规规定的建设条件；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应当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按照国家有关规定合理确定并严格执行建设工期，任何单位和个人不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得非</w:t>
      </w:r>
      <w:r>
        <w:rPr>
          <w:rFonts w:hint="default" w:ascii="Times New Roman" w:hAnsi="Times New Roman" w:eastAsia="仿宋_GB2312" w:cs="Times New Roman"/>
          <w:color w:val="auto"/>
          <w:spacing w:val="28"/>
          <w:sz w:val="32"/>
          <w:szCs w:val="32"/>
          <w:highlight w:val="none"/>
          <w:u w:val="none"/>
        </w:rPr>
        <w:t>法干预。</w:t>
      </w:r>
    </w:p>
    <w:p w14:paraId="7E4E39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项目单位不按期组织项目开工实施的，由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发改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highlight w:val="none"/>
          <w:u w:val="none"/>
        </w:rPr>
        <w:t>委会同相关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部门责令限期整改。逾期不整改的，由主管部门</w:t>
      </w:r>
      <w:r>
        <w:rPr>
          <w:rFonts w:hint="eastAsia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或者项目单位按</w:t>
      </w:r>
      <w:r>
        <w:rPr>
          <w:rFonts w:hint="eastAsia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u w:val="none"/>
          <w:lang w:val="en-US" w:eastAsia="zh-CN"/>
        </w:rPr>
        <w:t>原批准程序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撤销项目投资计划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。不能按期竣工的，由主管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部门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或者项目单位提请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政府专题研究会办。</w:t>
      </w:r>
    </w:p>
    <w:p w14:paraId="0959D74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59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pacing w:val="144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政府投资项目实行按月调度推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进。每月底前项目单位应当通过在线平台如实</w:t>
      </w:r>
      <w:r>
        <w:rPr>
          <w:rFonts w:hint="eastAsia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u w:val="none"/>
        </w:rPr>
        <w:t>项目开工情况、形象进度、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完成投资、竣工情况等建设进度信息报送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发改委，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</w:rPr>
        <w:t>发改委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将进展情况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汇总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报送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</w:rPr>
        <w:t>政府。</w:t>
      </w:r>
    </w:p>
    <w:p w14:paraId="790529F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59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县属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国有企业实施的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级政府投资项目，适用本办法。</w:t>
      </w:r>
    </w:p>
    <w:p w14:paraId="4FBC15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十一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其他未尽事宜，依据国务院《政府投资条例》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4"/>
          <w:sz w:val="32"/>
          <w:szCs w:val="32"/>
          <w:highlight w:val="none"/>
          <w:u w:val="none"/>
          <w:lang w:val="en-US" w:eastAsia="zh-CN"/>
        </w:rPr>
        <w:t>、《江苏省政府投资管理办法》、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《淮安市市级政府投资项目管理办法》等国家、省、市、县相关规定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执行。</w:t>
      </w:r>
    </w:p>
    <w:p w14:paraId="3D7A16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63" w:firstLineChars="200"/>
        <w:jc w:val="both"/>
        <w:textAlignment w:val="baseline"/>
        <w:rPr>
          <w:rFonts w:hint="eastAsia" w:ascii="Times New Roman" w:hAnsi="Times New Roman" w:eastAsia="仿宋_GB2312" w:cs="Times New Roman"/>
          <w:strike w:val="0"/>
          <w:dstrike w:val="0"/>
          <w:color w:val="auto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>十二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本办法自202</w:t>
      </w:r>
      <w:r>
        <w:rPr>
          <w:rFonts w:hint="eastAsia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</w:rPr>
        <w:t>日起施行</w:t>
      </w:r>
      <w:r>
        <w:rPr>
          <w:rFonts w:hint="default" w:ascii="Times New Roman" w:hAnsi="Times New Roman" w:eastAsia="仿宋_GB2312" w:cs="Times New Roman"/>
          <w:color w:val="auto"/>
          <w:spacing w:val="2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9"/>
          <w:sz w:val="32"/>
          <w:szCs w:val="32"/>
          <w:highlight w:val="none"/>
          <w:u w:val="none"/>
        </w:rPr>
        <w:t>有效期至2030年</w:t>
      </w:r>
      <w:r>
        <w:rPr>
          <w:rFonts w:hint="eastAsia" w:ascii="Times New Roman" w:hAnsi="Times New Roman" w:eastAsia="仿宋_GB2312" w:cs="Times New Roman"/>
          <w:color w:val="auto"/>
          <w:spacing w:val="19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19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19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pacing w:val="19"/>
          <w:sz w:val="32"/>
          <w:szCs w:val="32"/>
          <w:highlight w:val="none"/>
          <w:u w:val="none"/>
        </w:rPr>
        <w:t>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《金湖县县级政府投资项目生成实施办法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试行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金政发〔2022〕10号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同时废止。</w:t>
      </w:r>
    </w:p>
    <w:sectPr>
      <w:footerReference r:id="rId5" w:type="default"/>
      <w:pgSz w:w="11900" w:h="16840"/>
      <w:pgMar w:top="2098" w:right="1474" w:bottom="1984" w:left="1587" w:header="0" w:footer="117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07EB">
    <w:pPr>
      <w:pStyle w:val="2"/>
      <w:spacing w:line="233" w:lineRule="auto"/>
      <w:ind w:left="7735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243C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243C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5647A9"/>
    <w:rsid w:val="0ED079B0"/>
    <w:rsid w:val="149153BF"/>
    <w:rsid w:val="15D53734"/>
    <w:rsid w:val="25CD59EC"/>
    <w:rsid w:val="2B19667B"/>
    <w:rsid w:val="2F44044C"/>
    <w:rsid w:val="2FF162FD"/>
    <w:rsid w:val="3499096A"/>
    <w:rsid w:val="39024C4F"/>
    <w:rsid w:val="3D324DFC"/>
    <w:rsid w:val="3EDE64A8"/>
    <w:rsid w:val="4BBA0761"/>
    <w:rsid w:val="4DC33D61"/>
    <w:rsid w:val="53756DB9"/>
    <w:rsid w:val="5C8A239E"/>
    <w:rsid w:val="68D900F6"/>
    <w:rsid w:val="743B3304"/>
    <w:rsid w:val="75750F6B"/>
    <w:rsid w:val="76370AAB"/>
    <w:rsid w:val="766C07F9"/>
    <w:rsid w:val="79E10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1781</Words>
  <Characters>1794</Characters>
  <TotalTime>5</TotalTime>
  <ScaleCrop>false</ScaleCrop>
  <LinksUpToDate>false</LinksUpToDate>
  <CharactersWithSpaces>1815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2025-08-15T09:54:00Z</dcterms:created>
  <dc:creator>LF</dc:creator>
  <cp:lastModifiedBy>清 晖</cp:lastModifiedBy>
  <cp:lastPrinted>2025-11-05T00:34:00Z</cp:lastPrinted>
  <dcterms:modified xsi:type="dcterms:W3CDTF">2025-11-06T06:51:59Z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2025-08-15T09:54:21Z</vt:filetime>
  </property>
  <property fmtid="{D5CDD505-2E9C-101B-9397-08002B2CF9AE}" pid="4" name="UsrData">
    <vt:lpwstr>689e934939e360001f6930cawl</vt:lpwstr>
  </property>
  <property fmtid="{D5CDD505-2E9C-101B-9397-08002B2CF9AE}" pid="5" name="KSOTemplateDocerSaveRecord">
    <vt:lpwstr>eyJoZGlkIjoiYmI1MmQ1MDRiNWNmYTFiZDBhMTZiMGY0MWQ5ZGJlYTUiLCJ1c2VySWQiOiIzNTc1NTk2NTkifQ==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09C5B0E15B744AC5BF6C2DF4C45827E9_13</vt:lpwstr>
  </property>
</Properties>
</file>