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6B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rPr>
          <w:rFonts w:hint="eastAsia" w:ascii="宋体" w:hAnsi="宋体"/>
          <w:b/>
          <w:sz w:val="36"/>
          <w:szCs w:val="36"/>
          <w:u w:val="none"/>
          <w:shd w:val="clear" w:color="auto" w:fill="FFFFFF"/>
          <w:lang w:eastAsia="zh-CN" w:bidi="ar"/>
        </w:rPr>
      </w:pPr>
      <w:r>
        <w:rPr>
          <w:rFonts w:hint="eastAsia" w:ascii="宋体" w:hAnsi="宋体"/>
          <w:b/>
          <w:sz w:val="36"/>
          <w:szCs w:val="36"/>
          <w:u w:val="none"/>
          <w:shd w:val="clear" w:color="auto" w:fill="FFFFFF"/>
          <w:lang w:eastAsia="zh-CN" w:bidi="ar"/>
        </w:rPr>
        <w:t>金湖县教育体育局户外健身器材采购及安装项目</w:t>
      </w:r>
    </w:p>
    <w:p w14:paraId="5DBF46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结果公示</w:t>
      </w:r>
    </w:p>
    <w:p w14:paraId="481FB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金湖县教育体育局户外健身器材采购及安装项目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评标工作已经结束，中标候选人已经确定。</w:t>
      </w:r>
      <w:r>
        <w:rPr>
          <w:rFonts w:hint="eastAsia" w:ascii="宋体" w:hAnsi="宋体" w:eastAsia="宋体" w:cs="宋体"/>
          <w:sz w:val="24"/>
          <w:lang w:bidi="ar-SA"/>
        </w:rPr>
        <w:t>投标文件满足招标文件全部实质性要求，且按照评审因素的量化指标评审得分最</w:t>
      </w:r>
      <w:r>
        <w:rPr>
          <w:rFonts w:hint="eastAsia" w:ascii="宋体" w:hAnsi="宋体" w:eastAsia="宋体" w:cs="宋体"/>
          <w:sz w:val="24"/>
          <w:lang w:val="en-US" w:eastAsia="zh-CN" w:bidi="ar-SA"/>
        </w:rPr>
        <w:t>高的投标人为排名第一的中标候选人。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现将评标结果公示如下： </w:t>
      </w:r>
    </w:p>
    <w:p w14:paraId="0F82A4F3">
      <w:pPr>
        <w:numPr>
          <w:ilvl w:val="0"/>
          <w:numId w:val="0"/>
        </w:numPr>
        <w:spacing w:line="440" w:lineRule="exact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  <w:t>中标候选人情况</w:t>
      </w:r>
    </w:p>
    <w:tbl>
      <w:tblPr>
        <w:tblStyle w:val="9"/>
        <w:tblW w:w="8865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2712"/>
        <w:gridCol w:w="2469"/>
        <w:gridCol w:w="2203"/>
      </w:tblGrid>
      <w:tr w14:paraId="54906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62FE3">
            <w:pPr>
              <w:widowControl/>
              <w:shd w:val="clear" w:color="auto" w:fill="FFFFFF"/>
              <w:adjustRightInd w:val="0"/>
              <w:spacing w:line="440" w:lineRule="exact"/>
              <w:ind w:left="482" w:hanging="482" w:hangingChars="2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hd w:val="clear" w:color="auto" w:fill="FFFFFF"/>
              </w:rPr>
              <w:t>中标候选人排序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853BA">
            <w:pPr>
              <w:widowControl/>
              <w:adjustRightInd w:val="0"/>
              <w:spacing w:line="440" w:lineRule="exact"/>
              <w:ind w:left="482" w:hanging="482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第一名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D030B">
            <w:pPr>
              <w:widowControl/>
              <w:adjustRightInd w:val="0"/>
              <w:spacing w:line="440" w:lineRule="exact"/>
              <w:ind w:left="482" w:hanging="482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第二名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F0356">
            <w:pPr>
              <w:widowControl/>
              <w:adjustRightInd w:val="0"/>
              <w:spacing w:line="440" w:lineRule="exact"/>
              <w:ind w:left="482" w:hanging="482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第三名</w:t>
            </w:r>
          </w:p>
        </w:tc>
      </w:tr>
      <w:tr w14:paraId="70233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E4C9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中标候选人名称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8A72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南通铁人运动用品有限公司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5FDC5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江苏由惠体育科技有限公司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0C18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淮安思科商贸有限公司</w:t>
            </w:r>
          </w:p>
        </w:tc>
      </w:tr>
      <w:tr w14:paraId="27949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51A9B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投标报价（元）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3E66F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136000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FFA56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146000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40659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158600</w:t>
            </w:r>
          </w:p>
        </w:tc>
      </w:tr>
    </w:tbl>
    <w:p w14:paraId="71CABD57">
      <w:pPr>
        <w:widowControl/>
        <w:shd w:val="clear" w:color="auto" w:fill="FFFFFF"/>
        <w:adjustRightInd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  <w:t>所有投标单位得分情况</w:t>
      </w:r>
    </w:p>
    <w:tbl>
      <w:tblPr>
        <w:tblStyle w:val="9"/>
        <w:tblW w:w="8839" w:type="dxa"/>
        <w:tblInd w:w="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328"/>
        <w:gridCol w:w="1742"/>
        <w:gridCol w:w="1962"/>
      </w:tblGrid>
      <w:tr w14:paraId="4461D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5B26C">
            <w:pPr>
              <w:widowControl/>
              <w:spacing w:line="440" w:lineRule="exact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E1B0B">
            <w:pPr>
              <w:widowControl/>
              <w:spacing w:line="440" w:lineRule="exact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投标单位名称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A421D">
            <w:pPr>
              <w:widowControl/>
              <w:spacing w:line="440" w:lineRule="exact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投标报价（元）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792AC">
            <w:pPr>
              <w:widowControl/>
              <w:spacing w:line="440" w:lineRule="exact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得分</w:t>
            </w:r>
          </w:p>
        </w:tc>
      </w:tr>
      <w:tr w14:paraId="6688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48D0">
            <w:pPr>
              <w:widowControl/>
              <w:spacing w:line="440" w:lineRule="exact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CA9F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南通铁人运动用品有限公司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6CDC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136000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B46D5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96.8</w:t>
            </w:r>
          </w:p>
        </w:tc>
      </w:tr>
      <w:tr w14:paraId="475F1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4DBB">
            <w:pPr>
              <w:widowControl/>
              <w:spacing w:line="440" w:lineRule="exact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3EE6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江苏由惠体育科技有限公司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089B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146000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AD35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84.75</w:t>
            </w:r>
          </w:p>
        </w:tc>
      </w:tr>
      <w:tr w14:paraId="0A08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3363D">
            <w:pPr>
              <w:widowControl/>
              <w:spacing w:line="440" w:lineRule="exact"/>
              <w:ind w:left="480" w:hanging="480" w:hangingChars="20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F39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淮安思科商贸有限公司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2AAD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158600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A118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65.53</w:t>
            </w:r>
          </w:p>
        </w:tc>
      </w:tr>
    </w:tbl>
    <w:p w14:paraId="125D0151">
      <w:pPr>
        <w:widowControl/>
        <w:numPr>
          <w:ilvl w:val="0"/>
          <w:numId w:val="0"/>
        </w:numPr>
        <w:shd w:val="clear" w:color="auto" w:fill="FFFFFF"/>
        <w:adjustRightInd w:val="0"/>
        <w:spacing w:before="60" w:after="60"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  <w:t>拟确定中标人：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南通铁人运动用品有限公司</w:t>
      </w:r>
    </w:p>
    <w:p w14:paraId="1BBD158C">
      <w:pPr>
        <w:widowControl/>
        <w:numPr>
          <w:ilvl w:val="0"/>
          <w:numId w:val="0"/>
        </w:numPr>
        <w:shd w:val="clear" w:color="auto" w:fill="FFFFFF"/>
        <w:adjustRightInd w:val="0"/>
        <w:spacing w:before="60" w:after="60"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  <w:t>公告期限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 w14:paraId="1F9205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其他补充事宜：无</w:t>
      </w:r>
    </w:p>
    <w:p w14:paraId="54D939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凡对本次公告内容提出询问，请按以下方式联系。</w:t>
      </w:r>
    </w:p>
    <w:p w14:paraId="6FF871C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招标代理机构信息</w:t>
      </w:r>
    </w:p>
    <w:p w14:paraId="42759F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   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金湖县教育体育局            </w:t>
      </w:r>
      <w:r>
        <w:rPr>
          <w:rFonts w:hint="eastAsia" w:ascii="宋体" w:hAnsi="宋体" w:eastAsia="宋体" w:cs="宋体"/>
          <w:sz w:val="24"/>
          <w:szCs w:val="24"/>
        </w:rPr>
        <w:t>名 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淮安洋源项目管理有限公司</w:t>
      </w:r>
    </w:p>
    <w:p w14:paraId="0AEF7E2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地   址：金湖县建设西路2号          </w:t>
      </w:r>
      <w:r>
        <w:rPr>
          <w:rFonts w:hint="eastAsia" w:ascii="宋体" w:hAnsi="宋体" w:eastAsia="宋体" w:cs="宋体"/>
          <w:sz w:val="24"/>
          <w:szCs w:val="24"/>
        </w:rPr>
        <w:t>地  址：金湖县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金湖路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15号</w:t>
      </w:r>
    </w:p>
    <w:p w14:paraId="1E7C84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联系方式：郭主任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18852320818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吕工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15189528270</w:t>
      </w:r>
    </w:p>
    <w:p w14:paraId="49D982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         </w:t>
      </w:r>
    </w:p>
    <w:p w14:paraId="2F603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招标人：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金湖县教育体育局 </w:t>
      </w:r>
    </w:p>
    <w:p w14:paraId="59A9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代理机构：淮安洋源项目管理有限公司</w:t>
      </w:r>
    </w:p>
    <w:p w14:paraId="29E9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         日期：2025年12月4日</w:t>
      </w:r>
    </w:p>
    <w:p w14:paraId="2DAF9585">
      <w:pPr>
        <w:spacing w:line="440" w:lineRule="exact"/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lmMWNlMjQxMDdiYzViNzU4YzI4MDRkZjkyYzMwMDIifQ=="/>
  </w:docVars>
  <w:rsids>
    <w:rsidRoot w:val="00A90DB3"/>
    <w:rsid w:val="00074094"/>
    <w:rsid w:val="000D2ED4"/>
    <w:rsid w:val="00130989"/>
    <w:rsid w:val="0031010F"/>
    <w:rsid w:val="00380537"/>
    <w:rsid w:val="003853FA"/>
    <w:rsid w:val="00386D92"/>
    <w:rsid w:val="0048245F"/>
    <w:rsid w:val="00547BE7"/>
    <w:rsid w:val="007D63F6"/>
    <w:rsid w:val="0080470C"/>
    <w:rsid w:val="00A244CA"/>
    <w:rsid w:val="00A90DB3"/>
    <w:rsid w:val="00BC7D46"/>
    <w:rsid w:val="00CA48C6"/>
    <w:rsid w:val="00CA66F0"/>
    <w:rsid w:val="00DA120D"/>
    <w:rsid w:val="00EC3401"/>
    <w:rsid w:val="017240DE"/>
    <w:rsid w:val="01981D96"/>
    <w:rsid w:val="0200793B"/>
    <w:rsid w:val="027A3AB2"/>
    <w:rsid w:val="02866093"/>
    <w:rsid w:val="03116EB0"/>
    <w:rsid w:val="032B7255"/>
    <w:rsid w:val="04651FD2"/>
    <w:rsid w:val="066460D4"/>
    <w:rsid w:val="0748600C"/>
    <w:rsid w:val="099C27E6"/>
    <w:rsid w:val="0B9051E2"/>
    <w:rsid w:val="0BB73761"/>
    <w:rsid w:val="0BBF4FA9"/>
    <w:rsid w:val="0BD47E6F"/>
    <w:rsid w:val="0DB3719D"/>
    <w:rsid w:val="0F5E011A"/>
    <w:rsid w:val="11111C6D"/>
    <w:rsid w:val="11E257B0"/>
    <w:rsid w:val="12D07FDB"/>
    <w:rsid w:val="13AB3BAB"/>
    <w:rsid w:val="13D6674E"/>
    <w:rsid w:val="146E74C3"/>
    <w:rsid w:val="16193CE4"/>
    <w:rsid w:val="16B548DC"/>
    <w:rsid w:val="17021DD9"/>
    <w:rsid w:val="18351C95"/>
    <w:rsid w:val="1A756CC1"/>
    <w:rsid w:val="1A83450F"/>
    <w:rsid w:val="1AEC38F5"/>
    <w:rsid w:val="1C0320AA"/>
    <w:rsid w:val="1CB33AD0"/>
    <w:rsid w:val="1E58074B"/>
    <w:rsid w:val="1E902ABB"/>
    <w:rsid w:val="1F5A46D7"/>
    <w:rsid w:val="210F1C39"/>
    <w:rsid w:val="21635AC5"/>
    <w:rsid w:val="2288155B"/>
    <w:rsid w:val="22A16179"/>
    <w:rsid w:val="23654110"/>
    <w:rsid w:val="237D0994"/>
    <w:rsid w:val="24997A50"/>
    <w:rsid w:val="24F904EE"/>
    <w:rsid w:val="25461B06"/>
    <w:rsid w:val="26E60B7C"/>
    <w:rsid w:val="284F6E68"/>
    <w:rsid w:val="28D9666D"/>
    <w:rsid w:val="29C42120"/>
    <w:rsid w:val="2B706BE4"/>
    <w:rsid w:val="2B706D8C"/>
    <w:rsid w:val="2C3047F6"/>
    <w:rsid w:val="2D4D041E"/>
    <w:rsid w:val="2E1B7727"/>
    <w:rsid w:val="2E3C1B78"/>
    <w:rsid w:val="2EE3276B"/>
    <w:rsid w:val="2F6F28E7"/>
    <w:rsid w:val="30BE3AD8"/>
    <w:rsid w:val="31530257"/>
    <w:rsid w:val="31C05D33"/>
    <w:rsid w:val="34AA15C5"/>
    <w:rsid w:val="381B087C"/>
    <w:rsid w:val="38417547"/>
    <w:rsid w:val="38952F74"/>
    <w:rsid w:val="38E075A3"/>
    <w:rsid w:val="3991089E"/>
    <w:rsid w:val="3BFF5F92"/>
    <w:rsid w:val="3C5912BF"/>
    <w:rsid w:val="3D766315"/>
    <w:rsid w:val="3E8D3D29"/>
    <w:rsid w:val="3ED100BA"/>
    <w:rsid w:val="411F6FF2"/>
    <w:rsid w:val="412C5C81"/>
    <w:rsid w:val="41C23CEA"/>
    <w:rsid w:val="42D44BBD"/>
    <w:rsid w:val="434014CC"/>
    <w:rsid w:val="472B3EAD"/>
    <w:rsid w:val="4ABD5996"/>
    <w:rsid w:val="4ACA20E2"/>
    <w:rsid w:val="4B2652EA"/>
    <w:rsid w:val="4CA87F80"/>
    <w:rsid w:val="4D114AA0"/>
    <w:rsid w:val="4D52772D"/>
    <w:rsid w:val="4D8E361A"/>
    <w:rsid w:val="4DDD3C5A"/>
    <w:rsid w:val="4E52289A"/>
    <w:rsid w:val="4E80003C"/>
    <w:rsid w:val="51B3544F"/>
    <w:rsid w:val="523C3AE4"/>
    <w:rsid w:val="52F7756C"/>
    <w:rsid w:val="531B57DF"/>
    <w:rsid w:val="551A0DE6"/>
    <w:rsid w:val="556354F0"/>
    <w:rsid w:val="5643767E"/>
    <w:rsid w:val="56F96561"/>
    <w:rsid w:val="57367F02"/>
    <w:rsid w:val="57FE314A"/>
    <w:rsid w:val="58451EBA"/>
    <w:rsid w:val="59A742CF"/>
    <w:rsid w:val="5B7E6A7C"/>
    <w:rsid w:val="5D384BE8"/>
    <w:rsid w:val="5F13397F"/>
    <w:rsid w:val="5FE3096D"/>
    <w:rsid w:val="61171753"/>
    <w:rsid w:val="616E46F7"/>
    <w:rsid w:val="64494293"/>
    <w:rsid w:val="64715C24"/>
    <w:rsid w:val="6736645D"/>
    <w:rsid w:val="68BE635F"/>
    <w:rsid w:val="6ABD5AAE"/>
    <w:rsid w:val="6C69653C"/>
    <w:rsid w:val="6E0D22AD"/>
    <w:rsid w:val="6E5A5127"/>
    <w:rsid w:val="6FA50623"/>
    <w:rsid w:val="71105F71"/>
    <w:rsid w:val="723F6B0D"/>
    <w:rsid w:val="72BF7717"/>
    <w:rsid w:val="72CD74B0"/>
    <w:rsid w:val="733817AF"/>
    <w:rsid w:val="74173C61"/>
    <w:rsid w:val="74BE5F3C"/>
    <w:rsid w:val="75D91027"/>
    <w:rsid w:val="762F6F35"/>
    <w:rsid w:val="766C72C0"/>
    <w:rsid w:val="777A4144"/>
    <w:rsid w:val="789D7921"/>
    <w:rsid w:val="797465E7"/>
    <w:rsid w:val="7A256762"/>
    <w:rsid w:val="7A505630"/>
    <w:rsid w:val="7B9115B1"/>
    <w:rsid w:val="7C5378FC"/>
    <w:rsid w:val="7ECE3018"/>
    <w:rsid w:val="7ED8689E"/>
    <w:rsid w:val="7F8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/>
      <w:sz w:val="28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lang w:bidi="ar-SA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Body Text First Indent 2"/>
    <w:basedOn w:val="3"/>
    <w:autoRedefine/>
    <w:unhideWhenUsed/>
    <w:qFormat/>
    <w:uiPriority w:val="99"/>
    <w:pPr>
      <w:ind w:firstLine="420"/>
    </w:pPr>
    <w:rPr>
      <w:rFonts w:ascii="Calibri" w:hAnsi="Calibri"/>
      <w:sz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Emphasis"/>
    <w:basedOn w:val="11"/>
    <w:autoRedefine/>
    <w:qFormat/>
    <w:uiPriority w:val="0"/>
  </w:style>
  <w:style w:type="character" w:styleId="15">
    <w:name w:val="HTML Definition"/>
    <w:basedOn w:val="11"/>
    <w:autoRedefine/>
    <w:qFormat/>
    <w:uiPriority w:val="0"/>
  </w:style>
  <w:style w:type="character" w:styleId="16">
    <w:name w:val="HTML Typewriter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Acronym"/>
    <w:basedOn w:val="11"/>
    <w:autoRedefine/>
    <w:qFormat/>
    <w:uiPriority w:val="0"/>
  </w:style>
  <w:style w:type="character" w:styleId="18">
    <w:name w:val="HTML Variable"/>
    <w:basedOn w:val="11"/>
    <w:autoRedefine/>
    <w:qFormat/>
    <w:uiPriority w:val="0"/>
  </w:style>
  <w:style w:type="character" w:styleId="19">
    <w:name w:val="Hyperlink"/>
    <w:basedOn w:val="11"/>
    <w:autoRedefine/>
    <w:qFormat/>
    <w:uiPriority w:val="0"/>
    <w:rPr>
      <w:color w:val="0000FF"/>
      <w:u w:val="none"/>
    </w:rPr>
  </w:style>
  <w:style w:type="character" w:styleId="20">
    <w:name w:val="HTML Code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autoRedefine/>
    <w:qFormat/>
    <w:uiPriority w:val="0"/>
  </w:style>
  <w:style w:type="character" w:styleId="22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25">
    <w:name w:val="ewb-weather"/>
    <w:basedOn w:val="11"/>
    <w:autoRedefine/>
    <w:qFormat/>
    <w:uiPriority w:val="0"/>
  </w:style>
  <w:style w:type="character" w:customStyle="1" w:styleId="26">
    <w:name w:val="button"/>
    <w:basedOn w:val="11"/>
    <w:autoRedefine/>
    <w:qFormat/>
    <w:uiPriority w:val="0"/>
  </w:style>
  <w:style w:type="character" w:customStyle="1" w:styleId="27">
    <w:name w:val="tmpztreemove_arrow"/>
    <w:basedOn w:val="11"/>
    <w:autoRedefine/>
    <w:qFormat/>
    <w:uiPriority w:val="0"/>
  </w:style>
  <w:style w:type="character" w:customStyle="1" w:styleId="28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536</Characters>
  <Lines>2</Lines>
  <Paragraphs>2</Paragraphs>
  <TotalTime>1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2021-07-09T01:43:00Z</dcterms:created>
  <dc:creator>Administrator</dc:creator>
  <cp:lastModifiedBy>想飞的鱼</cp:lastModifiedBy>
  <cp:lastPrinted>2023-10-16T11:07:00Z</cp:lastPrinted>
  <dcterms:modified xsi:type="dcterms:W3CDTF">2025-12-04T03:04:18Z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BC95D2FA88894F60883E495276A76FBA_13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