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D75A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outlineLvl w:val="0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金湖县财政局</w:t>
      </w:r>
      <w:r>
        <w:rPr>
          <w:rFonts w:ascii="Times New Roman" w:hAnsi="Times New Roman" w:eastAsia="方正小标宋简体"/>
          <w:sz w:val="44"/>
          <w:szCs w:val="44"/>
        </w:rPr>
        <w:t>202</w:t>
      </w:r>
      <w:r>
        <w:rPr>
          <w:rFonts w:hint="eastAsia" w:ascii="Times New Roman" w:hAnsi="Times New Roman" w:eastAsia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eastAsia="方正小标宋简体"/>
          <w:sz w:val="44"/>
          <w:szCs w:val="44"/>
        </w:rPr>
        <w:t>年工作总结</w:t>
      </w:r>
    </w:p>
    <w:p w14:paraId="30D2B2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outlineLvl w:val="0"/>
        <w:rPr>
          <w:rFonts w:eastAsia="楷体_GB2312"/>
          <w:color w:val="000000"/>
          <w:spacing w:val="10"/>
          <w:sz w:val="32"/>
          <w:szCs w:val="32"/>
        </w:rPr>
      </w:pPr>
      <w:r>
        <w:rPr>
          <w:rFonts w:hint="eastAsia" w:ascii="方正小标宋简体" w:eastAsia="方正小标宋简体"/>
          <w:sz w:val="44"/>
          <w:szCs w:val="44"/>
        </w:rPr>
        <w:t>和</w:t>
      </w:r>
      <w:r>
        <w:rPr>
          <w:rFonts w:hint="eastAsia" w:ascii="Times New Roman" w:hAnsi="Times New Roman" w:eastAsia="方正小标宋简体"/>
          <w:sz w:val="44"/>
          <w:szCs w:val="44"/>
        </w:rPr>
        <w:t>2</w:t>
      </w:r>
      <w:r>
        <w:rPr>
          <w:rFonts w:ascii="Times New Roman" w:hAnsi="Times New Roman" w:eastAsia="方正小标宋简体"/>
          <w:sz w:val="44"/>
          <w:szCs w:val="44"/>
        </w:rPr>
        <w:t>02</w:t>
      </w:r>
      <w:r>
        <w:rPr>
          <w:rFonts w:hint="eastAsia" w:ascii="Times New Roman" w:hAnsi="Times New Roman" w:eastAsia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eastAsia="方正小标宋简体"/>
          <w:sz w:val="44"/>
          <w:szCs w:val="44"/>
        </w:rPr>
        <w:t>年工作计划</w:t>
      </w:r>
    </w:p>
    <w:p w14:paraId="324679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0"/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2025年是“十四五”规划的收官之年，也是全面贯彻党的二十届三中全会精神、进一步全面深化改革的关键之年，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全县财政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以“大财政”理念为指引，持续深化零基预算改革，创新预算管理方式，推进财政科学管理，切实增强财政可持续发展能力，提供坚强财政支撑。</w:t>
      </w:r>
    </w:p>
    <w:p w14:paraId="2C055B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0"/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一、2025年工作总结</w:t>
      </w:r>
      <w:bookmarkStart w:id="0" w:name="_GoBack"/>
      <w:bookmarkEnd w:id="0"/>
    </w:p>
    <w:p w14:paraId="043FA1B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outlineLvl w:val="1"/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楷体_GBK" w:cs="方正楷体_GBK"/>
          <w:b/>
          <w:bCs/>
          <w:sz w:val="32"/>
          <w:szCs w:val="32"/>
          <w:lang w:val="en-US" w:eastAsia="zh-CN"/>
        </w:rPr>
        <w:t>（一）政策赋能，培育发展新质生产力。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一是助力产业转型升级。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积极支持支持战略性新兴产业发展，补贴江苏科润膜公司年产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  <w:t>100万平方米质子膜项目0.31亿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元，有力推动产业结构优化与竞争力提升。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二是强化产业资金支持。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  <w:t>2025年拨付制造强省、工业强市等中小企业发展专项资金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0.32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  <w:t>亿元，积极支持企业向上争取外经贸发展、重点“小巨人”企业等专项资金，有效支持产业创新发展。</w:t>
      </w:r>
      <w:r>
        <w:rPr>
          <w:rFonts w:hint="eastAsia" w:ascii="Times New Roman" w:hAnsi="Times New Roman" w:eastAsia="仿宋_GB2312" w:cs="仿宋_GB2312"/>
          <w:b/>
          <w:bCs/>
          <w:sz w:val="32"/>
          <w:szCs w:val="32"/>
          <w:lang w:val="en-US" w:eastAsia="zh-CN"/>
        </w:rPr>
        <w:t>三是多元融资服务实体经济。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  <w:t>2025年1-10月，累计为企业提供担保贷款7.99亿元、应急转贷16.67亿元、科技贷款0.35亿元；县普惠金融风险补偿基金规模达0.14亿元，通过“苏科贷”引导银行投放贷款0.79亿元，有效引导金融机构加大对三农、科技和小微企业的支持力度。</w:t>
      </w:r>
    </w:p>
    <w:p w14:paraId="6A14411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outlineLvl w:val="1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楷体_GBK" w:cs="方正楷体_GBK"/>
          <w:b/>
          <w:bCs/>
          <w:sz w:val="32"/>
          <w:szCs w:val="32"/>
          <w:lang w:val="en-US" w:eastAsia="zh-CN"/>
        </w:rPr>
        <w:t>（二）收支有度，稳固财政发展压舱石。</w:t>
      </w:r>
      <w:r>
        <w:rPr>
          <w:rFonts w:hint="eastAsia" w:ascii="Times New Roman" w:hAnsi="Times New Roman" w:eastAsia="仿宋_GB2312" w:cs="仿宋_GB2312"/>
          <w:b/>
          <w:bCs/>
          <w:sz w:val="32"/>
          <w:szCs w:val="32"/>
          <w:lang w:val="en-US" w:eastAsia="zh-CN"/>
        </w:rPr>
        <w:t>一是全力以赴组织收入。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  <w:t>1-10月份全县完成一般公共预算收入30.25亿元，同比增长2.3%，其中，税收收入完成24.9亿元，同比增长1.3%；非税收入完成5.35亿元，同比增长7.8%，税占比82.3%。财政收入质量在全市保持较高水平。</w:t>
      </w:r>
      <w:r>
        <w:rPr>
          <w:rFonts w:hint="eastAsia" w:ascii="Times New Roman" w:hAnsi="Times New Roman" w:eastAsia="仿宋_GB2312" w:cs="仿宋_GB2312"/>
          <w:b/>
          <w:bCs/>
          <w:sz w:val="32"/>
          <w:szCs w:val="32"/>
          <w:lang w:val="en-US" w:eastAsia="zh-CN"/>
        </w:rPr>
        <w:t>二</w:t>
      </w:r>
      <w:r>
        <w:rPr>
          <w:rFonts w:hint="eastAsia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是</w:t>
      </w: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积极向上争取资金。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截止10月底，2025年全年已累计向上争取资金21.1亿元。其中，省市专项转移支付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资金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项目2.02亿元；超长期特别国债资金5.85亿元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；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政府债券资金13.23亿元。</w:t>
      </w:r>
      <w:r>
        <w:rPr>
          <w:rFonts w:hint="eastAsia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三</w:t>
      </w:r>
      <w:r>
        <w:rPr>
          <w:rFonts w:hint="eastAsia" w:ascii="仿宋_GB2312" w:hAnsi="仿宋" w:eastAsia="仿宋_GB2312" w:cs="仿宋"/>
          <w:b/>
          <w:bCs/>
          <w:sz w:val="32"/>
          <w:szCs w:val="32"/>
          <w:lang w:eastAsia="zh-CN"/>
        </w:rPr>
        <w:t>是</w:t>
      </w:r>
      <w:r>
        <w:rPr>
          <w:rFonts w:hint="eastAsia" w:ascii="仿宋_GB2312" w:hAnsi="仿宋" w:eastAsia="仿宋_GB2312" w:cs="仿宋"/>
          <w:b/>
          <w:bCs/>
          <w:sz w:val="32"/>
          <w:szCs w:val="32"/>
          <w:lang w:val="en-US" w:eastAsia="zh-CN"/>
        </w:rPr>
        <w:t>筑</w:t>
      </w:r>
      <w:r>
        <w:rPr>
          <w:rFonts w:hint="eastAsia" w:ascii="仿宋_GB2312" w:hAnsi="仿宋" w:eastAsia="仿宋_GB2312" w:cs="仿宋"/>
          <w:b/>
          <w:bCs/>
          <w:sz w:val="32"/>
          <w:szCs w:val="32"/>
          <w:lang w:eastAsia="zh-CN"/>
        </w:rPr>
        <w:t>牢“三保”底线</w:t>
      </w:r>
      <w:r>
        <w:rPr>
          <w:rFonts w:hint="eastAsia" w:ascii="仿宋_GB2312" w:hAnsi="仿宋" w:eastAsia="仿宋_GB2312" w:cs="仿宋"/>
          <w:b/>
          <w:bCs/>
          <w:sz w:val="32"/>
          <w:szCs w:val="32"/>
          <w:lang w:val="en-US" w:eastAsia="zh-CN"/>
        </w:rPr>
        <w:t>思维</w:t>
      </w:r>
      <w:r>
        <w:rPr>
          <w:rFonts w:hint="eastAsia" w:ascii="仿宋_GB2312" w:hAnsi="仿宋" w:eastAsia="仿宋_GB2312" w:cs="仿宋"/>
          <w:b/>
          <w:bCs/>
          <w:sz w:val="32"/>
          <w:szCs w:val="32"/>
          <w:lang w:eastAsia="zh-CN"/>
        </w:rPr>
        <w:t>。</w:t>
      </w:r>
      <w:r>
        <w:rPr>
          <w:rFonts w:hint="eastAsia" w:ascii="仿宋_GB2312" w:hAnsi="仿宋" w:eastAsia="仿宋_GB2312" w:cs="仿宋"/>
          <w:b w:val="0"/>
          <w:bCs w:val="0"/>
          <w:sz w:val="32"/>
          <w:szCs w:val="32"/>
          <w:lang w:eastAsia="zh-CN"/>
        </w:rPr>
        <w:t>始终坚持</w:t>
      </w:r>
      <w:r>
        <w:rPr>
          <w:rFonts w:hint="eastAsia" w:ascii="仿宋_GB2312" w:hAnsi="仿宋" w:eastAsia="仿宋_GB2312" w:cs="仿宋"/>
          <w:b w:val="0"/>
          <w:bCs w:val="0"/>
          <w:sz w:val="32"/>
          <w:szCs w:val="32"/>
          <w:lang w:val="en-US" w:eastAsia="zh-CN"/>
        </w:rPr>
        <w:t>党政机关习惯</w:t>
      </w:r>
      <w:r>
        <w:rPr>
          <w:rFonts w:hint="eastAsia" w:ascii="仿宋_GB2312" w:hAnsi="仿宋" w:eastAsia="仿宋_GB2312" w:cs="仿宋"/>
          <w:b w:val="0"/>
          <w:bCs w:val="0"/>
          <w:sz w:val="32"/>
          <w:szCs w:val="32"/>
          <w:lang w:eastAsia="zh-CN"/>
        </w:rPr>
        <w:t>过紧日子要求，</w:t>
      </w:r>
      <w:r>
        <w:rPr>
          <w:rFonts w:hint="eastAsia" w:ascii="仿宋_GB2312" w:hAnsi="仿宋" w:eastAsia="仿宋_GB2312" w:cs="仿宋"/>
          <w:b w:val="0"/>
          <w:bCs w:val="0"/>
          <w:sz w:val="32"/>
          <w:szCs w:val="32"/>
          <w:lang w:val="en-US" w:eastAsia="zh-CN"/>
        </w:rPr>
        <w:t>坚持</w:t>
      </w:r>
      <w:r>
        <w:rPr>
          <w:rFonts w:hint="eastAsia" w:ascii="仿宋_GB2312" w:hAnsi="仿宋" w:eastAsia="仿宋_GB2312" w:cs="仿宋"/>
          <w:b w:val="0"/>
          <w:bCs w:val="0"/>
          <w:sz w:val="32"/>
          <w:szCs w:val="32"/>
          <w:lang w:eastAsia="zh-CN"/>
        </w:rPr>
        <w:t>“三保”</w:t>
      </w:r>
      <w:r>
        <w:rPr>
          <w:rFonts w:hint="eastAsia" w:ascii="仿宋_GB2312" w:hAnsi="仿宋" w:eastAsia="仿宋_GB2312" w:cs="仿宋"/>
          <w:b w:val="0"/>
          <w:bCs w:val="0"/>
          <w:sz w:val="32"/>
          <w:szCs w:val="32"/>
          <w:lang w:val="en-US" w:eastAsia="zh-CN"/>
        </w:rPr>
        <w:t>支出</w:t>
      </w:r>
      <w:r>
        <w:rPr>
          <w:rFonts w:hint="eastAsia" w:ascii="仿宋_GB2312" w:hAnsi="仿宋" w:eastAsia="仿宋_GB2312" w:cs="仿宋"/>
          <w:b w:val="0"/>
          <w:bCs w:val="0"/>
          <w:sz w:val="32"/>
          <w:szCs w:val="32"/>
          <w:lang w:eastAsia="zh-CN"/>
        </w:rPr>
        <w:t>底线</w:t>
      </w:r>
      <w:r>
        <w:rPr>
          <w:rFonts w:hint="eastAsia" w:ascii="仿宋_GB2312" w:hAnsi="仿宋" w:eastAsia="仿宋_GB2312" w:cs="仿宋"/>
          <w:b w:val="0"/>
          <w:bCs w:val="0"/>
          <w:sz w:val="32"/>
          <w:szCs w:val="32"/>
          <w:lang w:val="en-US" w:eastAsia="zh-CN"/>
        </w:rPr>
        <w:t>思维</w:t>
      </w:r>
      <w:r>
        <w:rPr>
          <w:rFonts w:hint="eastAsia" w:ascii="仿宋_GB2312" w:hAnsi="仿宋" w:eastAsia="仿宋_GB2312" w:cs="仿宋"/>
          <w:b w:val="0"/>
          <w:bCs w:val="0"/>
          <w:sz w:val="32"/>
          <w:szCs w:val="32"/>
          <w:lang w:eastAsia="zh-CN"/>
        </w:rPr>
        <w:t>，优先保障“</w:t>
      </w:r>
      <w:r>
        <w:rPr>
          <w:rFonts w:hint="eastAsia" w:ascii="仿宋_GB2312" w:hAnsi="仿宋" w:eastAsia="仿宋_GB2312" w:cs="仿宋"/>
          <w:b w:val="0"/>
          <w:bCs w:val="0"/>
          <w:sz w:val="32"/>
          <w:szCs w:val="32"/>
          <w:lang w:val="en-US" w:eastAsia="zh-CN"/>
        </w:rPr>
        <w:t>三保”</w:t>
      </w:r>
      <w:r>
        <w:rPr>
          <w:rFonts w:hint="eastAsia" w:ascii="仿宋_GB2312" w:hAnsi="仿宋" w:eastAsia="仿宋_GB2312" w:cs="仿宋"/>
          <w:b w:val="0"/>
          <w:bCs w:val="0"/>
          <w:sz w:val="32"/>
          <w:szCs w:val="32"/>
          <w:lang w:eastAsia="zh-CN"/>
        </w:rPr>
        <w:t>支出，</w:t>
      </w:r>
      <w:r>
        <w:rPr>
          <w:rFonts w:hint="eastAsia" w:ascii="Times New Roman" w:hAnsi="Times New Roman" w:eastAsia="仿宋_GB2312" w:cs="仿宋"/>
          <w:b w:val="0"/>
          <w:bCs w:val="0"/>
          <w:sz w:val="32"/>
          <w:szCs w:val="32"/>
          <w:lang w:val="en-US" w:eastAsia="zh-CN"/>
        </w:rPr>
        <w:t>1-10月份，全县“三保”</w:t>
      </w:r>
      <w:r>
        <w:rPr>
          <w:rFonts w:hint="eastAsia" w:ascii="Times New Roman" w:hAnsi="Times New Roman" w:eastAsia="仿宋_GB2312" w:cs="仿宋"/>
          <w:b w:val="0"/>
          <w:bCs w:val="0"/>
          <w:sz w:val="32"/>
          <w:szCs w:val="32"/>
          <w:highlight w:val="none"/>
          <w:lang w:val="en-US" w:eastAsia="zh-CN"/>
        </w:rPr>
        <w:t>支出20.53亿元</w:t>
      </w:r>
      <w:r>
        <w:rPr>
          <w:rFonts w:hint="eastAsia" w:ascii="Times New Roman" w:hAnsi="Times New Roman" w:eastAsia="仿宋_GB2312" w:cs="仿宋"/>
          <w:b w:val="0"/>
          <w:bCs w:val="0"/>
          <w:sz w:val="32"/>
          <w:szCs w:val="32"/>
          <w:lang w:val="en-US" w:eastAsia="zh-CN"/>
        </w:rPr>
        <w:t>，县</w:t>
      </w:r>
      <w:r>
        <w:rPr>
          <w:rFonts w:hint="eastAsia" w:ascii="仿宋_GB2312" w:hAnsi="仿宋" w:eastAsia="仿宋_GB2312" w:cs="仿宋"/>
          <w:b w:val="0"/>
          <w:bCs w:val="0"/>
          <w:sz w:val="32"/>
          <w:szCs w:val="32"/>
          <w:lang w:val="en-US" w:eastAsia="zh-CN"/>
        </w:rPr>
        <w:t>域范围内未发生舆论风险</w:t>
      </w:r>
      <w:r>
        <w:rPr>
          <w:rFonts w:hint="eastAsia" w:ascii="仿宋_GB2312" w:hAnsi="仿宋" w:eastAsia="仿宋_GB2312" w:cs="仿宋"/>
          <w:b w:val="0"/>
          <w:bCs w:val="0"/>
          <w:sz w:val="32"/>
          <w:szCs w:val="32"/>
          <w:lang w:eastAsia="zh-CN"/>
        </w:rPr>
        <w:t>。</w:t>
      </w:r>
      <w:r>
        <w:rPr>
          <w:rFonts w:hint="eastAsia" w:ascii="仿宋_GB2312" w:hAnsi="仿宋" w:eastAsia="仿宋_GB2312" w:cs="仿宋"/>
          <w:b/>
          <w:bCs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是重特大项目攻坚。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重视重大项目招商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资的引擎作用，充分发挥其引领产业升级、培育经济新动能的核心功能。引进泰利智能科技、</w:t>
      </w:r>
      <w:r>
        <w:rPr>
          <w:rFonts w:ascii="Times New Roman" w:hAnsi="Times New Roman" w:eastAsia="仿宋_GB2312"/>
          <w:sz w:val="32"/>
          <w:szCs w:val="32"/>
        </w:rPr>
        <w:t>博雅普瑞生物科技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科技含量高、带动能力强、发展前景广的质效项目，有效补链强链延链。海创装备等重大工业项目陆续开工，柏仲新材料、</w:t>
      </w:r>
      <w:r>
        <w:rPr>
          <w:rFonts w:ascii="Times New Roman" w:hAnsi="Times New Roman" w:eastAsia="仿宋_GB2312"/>
          <w:color w:val="000000"/>
          <w:sz w:val="32"/>
          <w:szCs w:val="32"/>
        </w:rPr>
        <w:t>美翔体育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t>等项目稳步推进，将带动相关行业税收增收。</w:t>
      </w:r>
    </w:p>
    <w:p w14:paraId="493697E5">
      <w:pPr>
        <w:keepNext w:val="0"/>
        <w:keepLines w:val="0"/>
        <w:pageBreakBefore w:val="0"/>
        <w:widowControl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Times New Roman" w:hAnsi="Times New Roman" w:eastAsia="方正楷体_GBK" w:cs="方正楷体_GBK"/>
          <w:b/>
          <w:bCs/>
          <w:color w:val="FF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楷体_GBK" w:cs="方正楷体_GBK"/>
          <w:b/>
          <w:bCs/>
          <w:sz w:val="32"/>
          <w:szCs w:val="32"/>
          <w:highlight w:val="none"/>
          <w:lang w:val="en-US" w:eastAsia="zh-CN"/>
        </w:rPr>
        <w:t>（三）严守底线，风险防范化解更有力。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加强全口径债务管控。</w:t>
      </w:r>
      <w:r>
        <w:rPr>
          <w:rFonts w:hint="eastAsia" w:ascii="Times New Roman" w:hAnsi="Times New Roman" w:eastAsia="仿宋_GB2312" w:cs="仿宋_GB2312"/>
          <w:b/>
          <w:bCs/>
          <w:sz w:val="32"/>
          <w:szCs w:val="32"/>
          <w:lang w:val="en-US" w:eastAsia="zh-CN"/>
        </w:rPr>
        <w:t>一是强化债券资金管理。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坚持必须、效益、节约的原则组织申报债券资金，全年共获批发行新增一般债券项目6个0.7亿元、新增专项债券项目4个0.84亿元，政府债务严格控制在限额以内。</w:t>
      </w:r>
      <w:r>
        <w:rPr>
          <w:rFonts w:hint="eastAsia" w:ascii="Times New Roman" w:hAnsi="Times New Roman" w:eastAsia="仿宋_GB2312" w:cs="仿宋_GB2312"/>
          <w:b/>
          <w:bCs/>
          <w:sz w:val="32"/>
          <w:szCs w:val="32"/>
          <w:lang w:val="en-US" w:eastAsia="zh-CN"/>
        </w:rPr>
        <w:t>二是统筹落实化债资金。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加快推进经营性用地推介、挂牌、出让，统筹置换债券及自有财力，月底之前圆满成全年化债目标。</w:t>
      </w:r>
    </w:p>
    <w:p w14:paraId="3525825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outlineLvl w:val="1"/>
        <w:rPr>
          <w:rFonts w:hint="eastAsia" w:ascii="Times New Roman" w:hAnsi="Times New Roman" w:eastAsia="方正楷体_GBK" w:cs="方正楷体_GBK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楷体_GBK" w:cs="方正楷体_GBK"/>
          <w:b/>
          <w:bCs/>
          <w:sz w:val="32"/>
          <w:szCs w:val="32"/>
          <w:lang w:val="en-US" w:eastAsia="zh-CN"/>
        </w:rPr>
        <w:t>（四）保障民生，增强人民群众幸福感。</w:t>
      </w:r>
      <w:r>
        <w:rPr>
          <w:rFonts w:hint="eastAsia" w:ascii="Times New Roman" w:hAnsi="Times New Roman" w:eastAsia="仿宋_GB2312" w:cs="仿宋_GB2312"/>
          <w:b/>
          <w:sz w:val="32"/>
          <w:szCs w:val="32"/>
          <w:lang w:eastAsia="zh-CN"/>
        </w:rPr>
        <w:t>一是</w:t>
      </w:r>
      <w:r>
        <w:rPr>
          <w:rFonts w:hint="eastAsia" w:ascii="Times New Roman" w:hAnsi="Times New Roman" w:eastAsia="仿宋_GB2312" w:cs="仿宋_GB2312"/>
          <w:b/>
          <w:sz w:val="32"/>
          <w:szCs w:val="32"/>
          <w:lang w:val="en-US" w:eastAsia="zh-CN"/>
        </w:rPr>
        <w:t>有效提升人居环境</w:t>
      </w:r>
      <w:r>
        <w:rPr>
          <w:rFonts w:hint="eastAsia" w:ascii="Times New Roman" w:hAnsi="Times New Roman" w:eastAsia="仿宋_GB2312" w:cs="仿宋_GB2312"/>
          <w:b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 w:cs="仿宋_GB2312"/>
          <w:b w:val="0"/>
          <w:bCs/>
          <w:sz w:val="32"/>
          <w:szCs w:val="32"/>
          <w:lang w:eastAsia="zh-CN"/>
        </w:rPr>
        <w:t>投入1.31亿元用于</w:t>
      </w:r>
      <w:r>
        <w:rPr>
          <w:rFonts w:hint="eastAsia" w:ascii="Times New Roman" w:hAnsi="Times New Roman" w:eastAsia="仿宋_GB2312" w:cs="仿宋_GB2312"/>
          <w:b w:val="0"/>
          <w:bCs/>
          <w:sz w:val="32"/>
          <w:szCs w:val="32"/>
          <w:lang w:val="en-US" w:eastAsia="zh-CN"/>
        </w:rPr>
        <w:t>市政基础设施维护，投入</w:t>
      </w:r>
      <w:r>
        <w:rPr>
          <w:rFonts w:hint="eastAsia" w:ascii="Times New Roman" w:hAnsi="Times New Roman" w:eastAsia="仿宋_GB2312" w:cs="仿宋_GB2312"/>
          <w:b w:val="0"/>
          <w:bCs/>
          <w:sz w:val="32"/>
          <w:szCs w:val="32"/>
          <w:lang w:eastAsia="zh-CN"/>
        </w:rPr>
        <w:t>1.14亿元用于生活垃圾分类处理、道路保洁绿化及市容长效管理，着力营造整洁优美的城乡人居环境。</w:t>
      </w:r>
      <w:r>
        <w:rPr>
          <w:rFonts w:hint="eastAsia" w:ascii="Times New Roman" w:hAnsi="Times New Roman" w:eastAsia="仿宋_GB2312" w:cs="仿宋_GB2312"/>
          <w:b/>
          <w:bCs/>
          <w:color w:val="auto"/>
          <w:sz w:val="32"/>
          <w:szCs w:val="32"/>
          <w:lang w:val="en-US" w:eastAsia="zh-CN"/>
        </w:rPr>
        <w:t>二是逐步提高社会保障水平。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  <w:t>基础养老金发放标准从228元/月提高到248元/月、失业金标准提高至最高2490元/月、城乡低保最低标准提高到733元/人.月。全年拨付社会保障资金0.78亿元，惠及全县各类特殊困难群体。</w:t>
      </w:r>
      <w:r>
        <w:rPr>
          <w:rFonts w:hint="eastAsia" w:ascii="Times New Roman" w:hAnsi="Times New Roman" w:eastAsia="仿宋_GB2312" w:cs="仿宋_GB2312"/>
          <w:b/>
          <w:bCs/>
          <w:sz w:val="32"/>
          <w:szCs w:val="32"/>
          <w:lang w:val="en-US" w:eastAsia="zh-CN"/>
        </w:rPr>
        <w:t>三是增强基本医疗卫生服务能力。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  <w:t>安排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1.52亿元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  <w:t>补助城乡居民医保（最低标准提高至730元/人/年），安排0.31亿元用于基本公共卫生服务（人均水平提高至108元/人/年），有力促进基本公共服务均等化。</w:t>
      </w:r>
      <w:r>
        <w:rPr>
          <w:rFonts w:hint="eastAsia" w:ascii="Times New Roman" w:hAnsi="Times New Roman" w:eastAsia="仿宋_GB2312" w:cs="仿宋_GB2312"/>
          <w:b/>
          <w:bCs w:val="0"/>
          <w:sz w:val="32"/>
          <w:szCs w:val="32"/>
          <w:lang w:eastAsia="zh-CN"/>
        </w:rPr>
        <w:t>四是</w:t>
      </w:r>
      <w:r>
        <w:rPr>
          <w:rFonts w:hint="eastAsia" w:ascii="Times New Roman" w:hAnsi="Times New Roman" w:eastAsia="仿宋_GB2312" w:cs="仿宋_GB2312"/>
          <w:b/>
          <w:bCs w:val="0"/>
          <w:sz w:val="32"/>
          <w:szCs w:val="32"/>
          <w:lang w:val="en-US" w:eastAsia="zh-CN"/>
        </w:rPr>
        <w:t>促进</w:t>
      </w:r>
      <w:r>
        <w:rPr>
          <w:rFonts w:hint="eastAsia" w:ascii="Times New Roman" w:hAnsi="Times New Roman" w:eastAsia="仿宋_GB2312" w:cs="仿宋_GB2312"/>
          <w:b/>
          <w:bCs w:val="0"/>
          <w:sz w:val="32"/>
          <w:szCs w:val="32"/>
          <w:lang w:eastAsia="zh-CN"/>
        </w:rPr>
        <w:t>粮食储备</w:t>
      </w:r>
      <w:r>
        <w:rPr>
          <w:rFonts w:hint="eastAsia" w:ascii="Times New Roman" w:hAnsi="Times New Roman" w:eastAsia="仿宋_GB2312" w:cs="仿宋_GB2312"/>
          <w:b/>
          <w:bCs w:val="0"/>
          <w:sz w:val="32"/>
          <w:szCs w:val="32"/>
          <w:lang w:val="en-US" w:eastAsia="zh-CN"/>
        </w:rPr>
        <w:t>安全</w:t>
      </w:r>
      <w:r>
        <w:rPr>
          <w:rFonts w:hint="eastAsia" w:ascii="Times New Roman" w:hAnsi="Times New Roman" w:eastAsia="仿宋_GB2312" w:cs="仿宋_GB2312"/>
          <w:b/>
          <w:bCs w:val="0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 w:cs="仿宋_GB2312"/>
          <w:b w:val="0"/>
          <w:bCs/>
          <w:sz w:val="32"/>
          <w:szCs w:val="32"/>
          <w:lang w:eastAsia="zh-CN"/>
        </w:rPr>
        <w:t>持续</w:t>
      </w:r>
      <w:r>
        <w:rPr>
          <w:rFonts w:hint="eastAsia" w:ascii="Times New Roman" w:hAnsi="Times New Roman" w:eastAsia="仿宋_GB2312" w:cs="仿宋_GB2312"/>
          <w:b w:val="0"/>
          <w:bCs/>
          <w:sz w:val="32"/>
          <w:szCs w:val="32"/>
          <w:lang w:val="en-US" w:eastAsia="zh-CN"/>
        </w:rPr>
        <w:t>加强</w:t>
      </w:r>
      <w:r>
        <w:rPr>
          <w:rFonts w:hint="eastAsia" w:ascii="Times New Roman" w:hAnsi="Times New Roman" w:eastAsia="仿宋_GB2312" w:cs="仿宋_GB2312"/>
          <w:b w:val="0"/>
          <w:bCs/>
          <w:sz w:val="32"/>
          <w:szCs w:val="32"/>
          <w:lang w:eastAsia="zh-CN"/>
        </w:rPr>
        <w:t>粮食</w:t>
      </w:r>
      <w:r>
        <w:rPr>
          <w:rFonts w:hint="eastAsia" w:ascii="Times New Roman" w:hAnsi="Times New Roman" w:eastAsia="仿宋_GB2312" w:cs="仿宋_GB2312"/>
          <w:b w:val="0"/>
          <w:bCs/>
          <w:sz w:val="32"/>
          <w:szCs w:val="32"/>
          <w:lang w:val="en-US" w:eastAsia="zh-CN"/>
        </w:rPr>
        <w:t>生产安全，</w:t>
      </w:r>
      <w:r>
        <w:rPr>
          <w:rFonts w:hint="eastAsia" w:ascii="Times New Roman" w:hAnsi="Times New Roman" w:eastAsia="仿宋_GB2312" w:cs="仿宋_GB2312"/>
          <w:b w:val="0"/>
          <w:bCs/>
          <w:sz w:val="32"/>
          <w:szCs w:val="32"/>
          <w:lang w:eastAsia="zh-CN"/>
        </w:rPr>
        <w:t>发放稻谷补贴资金</w:t>
      </w:r>
      <w:r>
        <w:rPr>
          <w:rFonts w:hint="eastAsia" w:ascii="Times New Roman" w:hAnsi="Times New Roman" w:eastAsia="仿宋_GB2312" w:cs="仿宋_GB2312"/>
          <w:b w:val="0"/>
          <w:bCs/>
          <w:sz w:val="32"/>
          <w:szCs w:val="32"/>
          <w:lang w:val="en-US" w:eastAsia="zh-CN"/>
        </w:rPr>
        <w:t>0.38亿元</w:t>
      </w:r>
      <w:r>
        <w:rPr>
          <w:rFonts w:hint="eastAsia" w:ascii="Times New Roman" w:hAnsi="Times New Roman" w:eastAsia="仿宋_GB2312" w:cs="仿宋_GB2312"/>
          <w:b w:val="0"/>
          <w:bCs/>
          <w:sz w:val="32"/>
          <w:szCs w:val="32"/>
          <w:lang w:eastAsia="zh-CN"/>
        </w:rPr>
        <w:t>，惠及1万余户生产者和13家收购企业。</w:t>
      </w:r>
      <w:r>
        <w:rPr>
          <w:rFonts w:hint="eastAsia" w:ascii="Times New Roman" w:hAnsi="Times New Roman" w:eastAsia="仿宋_GB2312" w:cs="仿宋_GB2312"/>
          <w:b w:val="0"/>
          <w:bCs/>
          <w:sz w:val="32"/>
          <w:szCs w:val="32"/>
          <w:lang w:val="en-US" w:eastAsia="zh-CN"/>
        </w:rPr>
        <w:t>投入0.67亿</w:t>
      </w:r>
      <w:r>
        <w:rPr>
          <w:rFonts w:hint="eastAsia" w:ascii="Times New Roman" w:hAnsi="Times New Roman" w:eastAsia="仿宋_GB2312" w:cs="仿宋_GB2312"/>
          <w:b w:val="0"/>
          <w:bCs/>
          <w:sz w:val="32"/>
          <w:szCs w:val="32"/>
          <w:lang w:eastAsia="zh-CN"/>
        </w:rPr>
        <w:t>元支持6个粮库收纳仓项目建设，为实现县级储备粮规模化、集中存储奠定坚实基础。</w:t>
      </w:r>
      <w:r>
        <w:rPr>
          <w:rFonts w:hint="eastAsia" w:ascii="Times New Roman" w:hAnsi="Times New Roman" w:eastAsia="仿宋_GB2312" w:cs="仿宋_GB2312"/>
          <w:b/>
          <w:bCs w:val="0"/>
          <w:sz w:val="32"/>
          <w:szCs w:val="32"/>
          <w:lang w:eastAsia="zh-CN"/>
        </w:rPr>
        <w:t>五是教育资源均衡普惠。</w:t>
      </w:r>
      <w:r>
        <w:rPr>
          <w:rFonts w:hint="eastAsia" w:ascii="Times New Roman" w:hAnsi="Times New Roman" w:eastAsia="仿宋_GB2312" w:cs="仿宋_GB2312"/>
          <w:b w:val="0"/>
          <w:bCs/>
          <w:sz w:val="32"/>
          <w:szCs w:val="32"/>
          <w:lang w:val="en-US" w:eastAsia="zh-CN"/>
        </w:rPr>
        <w:t>安排教育经费</w:t>
      </w: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7.51</w:t>
      </w:r>
      <w:r>
        <w:rPr>
          <w:rFonts w:hint="eastAsia" w:ascii="Times New Roman" w:hAnsi="Times New Roman" w:eastAsia="仿宋_GB2312" w:cs="仿宋_GB2312"/>
          <w:b w:val="0"/>
          <w:bCs/>
          <w:sz w:val="32"/>
          <w:szCs w:val="32"/>
          <w:highlight w:val="none"/>
          <w:lang w:val="en-US" w:eastAsia="zh-CN"/>
        </w:rPr>
        <w:t>亿元，</w:t>
      </w:r>
      <w:r>
        <w:rPr>
          <w:rFonts w:hint="eastAsia" w:ascii="Times New Roman" w:hAnsi="Times New Roman" w:eastAsia="仿宋_GB2312" w:cs="仿宋_GB2312"/>
          <w:b w:val="0"/>
          <w:bCs/>
          <w:sz w:val="32"/>
          <w:szCs w:val="32"/>
          <w:lang w:val="en-US" w:eastAsia="zh-CN"/>
        </w:rPr>
        <w:t>确保教育支出两个只增不减要求，其中，</w:t>
      </w:r>
      <w:r>
        <w:rPr>
          <w:rFonts w:hint="eastAsia" w:ascii="Times New Roman" w:hAnsi="Times New Roman" w:eastAsia="仿宋_GB2312" w:cs="仿宋_GB2312"/>
          <w:b w:val="0"/>
          <w:bCs/>
          <w:sz w:val="32"/>
          <w:szCs w:val="32"/>
          <w:lang w:eastAsia="zh-CN"/>
        </w:rPr>
        <w:t>安排生均公用经费</w:t>
      </w:r>
      <w:r>
        <w:rPr>
          <w:rFonts w:hint="eastAsia" w:ascii="Times New Roman" w:hAnsi="Times New Roman" w:eastAsia="仿宋_GB2312" w:cs="仿宋_GB2312"/>
          <w:b w:val="0"/>
          <w:bCs/>
          <w:sz w:val="32"/>
          <w:szCs w:val="32"/>
          <w:lang w:val="en-US" w:eastAsia="zh-CN"/>
        </w:rPr>
        <w:t>0.24亿</w:t>
      </w:r>
      <w:r>
        <w:rPr>
          <w:rFonts w:hint="eastAsia" w:ascii="Times New Roman" w:hAnsi="Times New Roman" w:eastAsia="仿宋_GB2312" w:cs="仿宋_GB2312"/>
          <w:b w:val="0"/>
          <w:bCs/>
          <w:sz w:val="32"/>
          <w:szCs w:val="32"/>
          <w:lang w:eastAsia="zh-CN"/>
        </w:rPr>
        <w:t>元，</w:t>
      </w:r>
      <w:r>
        <w:rPr>
          <w:rFonts w:hint="eastAsia" w:ascii="Times New Roman" w:hAnsi="Times New Roman" w:eastAsia="仿宋_GB2312" w:cs="仿宋_GB2312"/>
          <w:b w:val="0"/>
          <w:bCs/>
          <w:sz w:val="32"/>
          <w:szCs w:val="32"/>
          <w:lang w:val="en-US" w:eastAsia="zh-CN"/>
        </w:rPr>
        <w:t>安排困难学生</w:t>
      </w:r>
      <w:r>
        <w:rPr>
          <w:rFonts w:hint="eastAsia" w:ascii="Times New Roman" w:hAnsi="Times New Roman" w:eastAsia="仿宋_GB2312" w:cs="仿宋_GB2312"/>
          <w:b w:val="0"/>
          <w:bCs/>
          <w:sz w:val="32"/>
          <w:szCs w:val="32"/>
          <w:lang w:eastAsia="zh-CN"/>
        </w:rPr>
        <w:t>资助资金</w:t>
      </w:r>
      <w:r>
        <w:rPr>
          <w:rFonts w:hint="eastAsia" w:ascii="Times New Roman" w:hAnsi="Times New Roman" w:eastAsia="仿宋_GB2312" w:cs="仿宋_GB2312"/>
          <w:b w:val="0"/>
          <w:bCs/>
          <w:sz w:val="32"/>
          <w:szCs w:val="32"/>
          <w:lang w:val="en-US" w:eastAsia="zh-CN"/>
        </w:rPr>
        <w:t>0.04亿</w:t>
      </w:r>
      <w:r>
        <w:rPr>
          <w:rFonts w:hint="eastAsia" w:ascii="Times New Roman" w:hAnsi="Times New Roman" w:eastAsia="仿宋_GB2312" w:cs="仿宋_GB2312"/>
          <w:b w:val="0"/>
          <w:bCs/>
          <w:sz w:val="32"/>
          <w:szCs w:val="32"/>
          <w:lang w:eastAsia="zh-CN"/>
        </w:rPr>
        <w:t>元，</w:t>
      </w:r>
      <w:r>
        <w:rPr>
          <w:rFonts w:hint="eastAsia" w:ascii="Times New Roman" w:hAnsi="Times New Roman" w:eastAsia="仿宋_GB2312" w:cs="仿宋_GB2312"/>
          <w:b w:val="0"/>
          <w:bCs/>
          <w:sz w:val="32"/>
          <w:szCs w:val="32"/>
          <w:lang w:val="en-US" w:eastAsia="zh-CN"/>
        </w:rPr>
        <w:t>安排基础设施建设资金</w:t>
      </w:r>
      <w:r>
        <w:rPr>
          <w:rFonts w:hint="eastAsia" w:ascii="Times New Roman" w:hAnsi="Times New Roman" w:eastAsia="仿宋_GB2312" w:cs="仿宋_GB2312"/>
          <w:b w:val="0"/>
          <w:bCs/>
          <w:sz w:val="32"/>
          <w:szCs w:val="32"/>
          <w:highlight w:val="none"/>
          <w:lang w:val="en-US" w:eastAsia="zh-CN"/>
        </w:rPr>
        <w:t>4.82亿元，建成</w:t>
      </w:r>
      <w:r>
        <w:rPr>
          <w:rFonts w:hint="eastAsia" w:ascii="Times New Roman" w:hAnsi="Times New Roman" w:eastAsia="仿宋_GB2312" w:cs="仿宋_GB2312"/>
          <w:b w:val="0"/>
          <w:bCs/>
          <w:sz w:val="32"/>
          <w:szCs w:val="32"/>
          <w:lang w:eastAsia="zh-CN"/>
        </w:rPr>
        <w:t>育才初中二期、金湖中学报告厅等项目，</w:t>
      </w:r>
      <w:r>
        <w:rPr>
          <w:rFonts w:hint="eastAsia" w:ascii="Times New Roman" w:hAnsi="Times New Roman" w:eastAsia="仿宋_GB2312" w:cs="仿宋_GB2312"/>
          <w:b w:val="0"/>
          <w:bCs/>
          <w:sz w:val="32"/>
          <w:szCs w:val="32"/>
          <w:lang w:val="en-US" w:eastAsia="zh-CN"/>
        </w:rPr>
        <w:t>促</w:t>
      </w:r>
      <w:r>
        <w:rPr>
          <w:rFonts w:hint="eastAsia" w:ascii="Times New Roman" w:hAnsi="Times New Roman" w:eastAsia="仿宋_GB2312" w:cs="仿宋_GB2312"/>
          <w:b w:val="0"/>
          <w:bCs/>
          <w:sz w:val="32"/>
          <w:szCs w:val="32"/>
          <w:lang w:eastAsia="zh-CN"/>
        </w:rPr>
        <w:t>进农村小规模学校布局</w:t>
      </w:r>
      <w:r>
        <w:rPr>
          <w:rFonts w:hint="eastAsia" w:ascii="Times New Roman" w:hAnsi="Times New Roman" w:eastAsia="仿宋_GB2312" w:cs="仿宋_GB2312"/>
          <w:b w:val="0"/>
          <w:bCs/>
          <w:sz w:val="32"/>
          <w:szCs w:val="32"/>
          <w:lang w:val="en-US" w:eastAsia="zh-CN"/>
        </w:rPr>
        <w:t>优化</w:t>
      </w:r>
      <w:r>
        <w:rPr>
          <w:rFonts w:hint="eastAsia" w:ascii="Times New Roman" w:hAnsi="Times New Roman" w:eastAsia="仿宋_GB2312" w:cs="仿宋_GB2312"/>
          <w:b w:val="0"/>
          <w:bCs/>
          <w:sz w:val="32"/>
          <w:szCs w:val="32"/>
          <w:lang w:eastAsia="zh-CN"/>
        </w:rPr>
        <w:t>调整，持续促进教育公平；</w:t>
      </w:r>
      <w:r>
        <w:rPr>
          <w:rFonts w:hint="eastAsia" w:ascii="Times New Roman" w:hAnsi="Times New Roman" w:eastAsia="仿宋_GB2312" w:cs="仿宋_GB2312"/>
          <w:b w:val="0"/>
          <w:bCs/>
          <w:sz w:val="32"/>
          <w:szCs w:val="32"/>
          <w:lang w:val="en-US" w:eastAsia="zh-CN"/>
        </w:rPr>
        <w:t>安排</w:t>
      </w:r>
      <w:r>
        <w:rPr>
          <w:rFonts w:hint="eastAsia" w:ascii="Times New Roman" w:hAnsi="Times New Roman" w:eastAsia="仿宋_GB2312" w:cs="仿宋_GB2312"/>
          <w:b w:val="0"/>
          <w:bCs/>
          <w:sz w:val="32"/>
          <w:szCs w:val="32"/>
          <w:lang w:eastAsia="zh-CN"/>
        </w:rPr>
        <w:t>教学质量提升</w:t>
      </w:r>
      <w:r>
        <w:rPr>
          <w:rFonts w:hint="eastAsia" w:ascii="Times New Roman" w:hAnsi="Times New Roman" w:eastAsia="仿宋_GB2312" w:cs="仿宋_GB2312"/>
          <w:b w:val="0"/>
          <w:bCs/>
          <w:sz w:val="32"/>
          <w:szCs w:val="32"/>
          <w:lang w:val="en-US" w:eastAsia="zh-CN"/>
        </w:rPr>
        <w:t>及</w:t>
      </w:r>
      <w:r>
        <w:rPr>
          <w:rFonts w:hint="eastAsia" w:ascii="Times New Roman" w:hAnsi="Times New Roman" w:eastAsia="仿宋_GB2312" w:cs="仿宋_GB2312"/>
          <w:b w:val="0"/>
          <w:bCs/>
          <w:sz w:val="32"/>
          <w:szCs w:val="32"/>
          <w:lang w:eastAsia="zh-CN"/>
        </w:rPr>
        <w:t>课后服务补助</w:t>
      </w:r>
      <w:r>
        <w:rPr>
          <w:rFonts w:hint="eastAsia" w:ascii="Times New Roman" w:hAnsi="Times New Roman" w:eastAsia="仿宋_GB2312" w:cs="仿宋_GB2312"/>
          <w:b w:val="0"/>
          <w:bCs/>
          <w:sz w:val="32"/>
          <w:szCs w:val="32"/>
          <w:lang w:val="en-US" w:eastAsia="zh-CN"/>
        </w:rPr>
        <w:t>0.5亿元，</w:t>
      </w:r>
      <w:r>
        <w:rPr>
          <w:rFonts w:hint="eastAsia" w:ascii="Times New Roman" w:hAnsi="Times New Roman" w:eastAsia="仿宋_GB2312" w:cs="仿宋_GB2312"/>
          <w:b w:val="0"/>
          <w:bCs/>
          <w:sz w:val="32"/>
          <w:szCs w:val="32"/>
          <w:lang w:eastAsia="zh-CN"/>
        </w:rPr>
        <w:t>稳步提升教师待遇。</w:t>
      </w:r>
      <w:r>
        <w:rPr>
          <w:rFonts w:hint="eastAsia" w:ascii="Times New Roman" w:hAnsi="Times New Roman" w:eastAsia="仿宋_GB2312" w:cs="仿宋_GB2312"/>
          <w:b/>
          <w:bCs w:val="0"/>
          <w:sz w:val="32"/>
          <w:szCs w:val="32"/>
          <w:lang w:eastAsia="zh-CN"/>
        </w:rPr>
        <w:t>六是促进文化建设。</w:t>
      </w:r>
      <w:r>
        <w:rPr>
          <w:rFonts w:hint="eastAsia" w:ascii="Times New Roman" w:hAnsi="Times New Roman" w:eastAsia="仿宋_GB2312" w:cs="仿宋_GB2312"/>
          <w:b w:val="0"/>
          <w:bCs/>
          <w:sz w:val="32"/>
          <w:szCs w:val="32"/>
          <w:lang w:eastAsia="zh-CN"/>
        </w:rPr>
        <w:t>安排</w:t>
      </w:r>
      <w:r>
        <w:rPr>
          <w:rFonts w:hint="eastAsia" w:ascii="Times New Roman" w:hAnsi="Times New Roman" w:eastAsia="仿宋_GB2312" w:cs="仿宋_GB2312"/>
          <w:b w:val="0"/>
          <w:bCs/>
          <w:sz w:val="32"/>
          <w:szCs w:val="32"/>
          <w:lang w:val="en-US" w:eastAsia="zh-CN"/>
        </w:rPr>
        <w:t>0.22亿</w:t>
      </w:r>
      <w:r>
        <w:rPr>
          <w:rFonts w:hint="eastAsia" w:ascii="Times New Roman" w:hAnsi="Times New Roman" w:eastAsia="仿宋_GB2312" w:cs="仿宋_GB2312"/>
          <w:b w:val="0"/>
          <w:bCs/>
          <w:sz w:val="32"/>
          <w:szCs w:val="32"/>
          <w:lang w:eastAsia="zh-CN"/>
        </w:rPr>
        <w:t>元</w:t>
      </w:r>
      <w:r>
        <w:rPr>
          <w:rFonts w:hint="eastAsia" w:ascii="Times New Roman" w:hAnsi="Times New Roman" w:eastAsia="仿宋_GB2312" w:cs="仿宋_GB2312"/>
          <w:b w:val="0"/>
          <w:bCs/>
          <w:sz w:val="32"/>
          <w:szCs w:val="32"/>
          <w:lang w:val="en-US" w:eastAsia="zh-CN"/>
        </w:rPr>
        <w:t>用于</w:t>
      </w:r>
      <w:r>
        <w:rPr>
          <w:rFonts w:hint="eastAsia" w:ascii="Times New Roman" w:hAnsi="Times New Roman" w:eastAsia="仿宋_GB2312" w:cs="仿宋_GB2312"/>
          <w:b w:val="0"/>
          <w:bCs/>
          <w:sz w:val="32"/>
          <w:szCs w:val="32"/>
          <w:lang w:eastAsia="zh-CN"/>
        </w:rPr>
        <w:t>文旅领域，完善城乡公共文化设施，丰富群众精神文化生活，为“文化强县”“旅游兴县”建设注入坚实财政力量。</w:t>
      </w:r>
      <w:r>
        <w:rPr>
          <w:rFonts w:hint="eastAsia" w:ascii="Times New Roman" w:hAnsi="Times New Roman" w:eastAsia="仿宋_GB2312" w:cs="仿宋_GB2312"/>
          <w:b/>
          <w:bCs w:val="0"/>
          <w:sz w:val="32"/>
          <w:szCs w:val="32"/>
          <w:lang w:eastAsia="zh-CN"/>
        </w:rPr>
        <w:t>七</w:t>
      </w:r>
      <w:r>
        <w:rPr>
          <w:rFonts w:hint="eastAsia" w:ascii="Times New Roman" w:hAnsi="Times New Roman" w:eastAsia="仿宋_GB2312" w:cs="仿宋_GB2312"/>
          <w:b/>
          <w:bCs/>
          <w:sz w:val="32"/>
          <w:szCs w:val="32"/>
          <w:lang w:val="en-US" w:eastAsia="zh-CN"/>
        </w:rPr>
        <w:t>是助力乡村振兴。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  <w:t>统筹农业专项结余资金0.2亿元，用于宜居宜业和美乡村建设、稻虾综合种养、池塘标准化改造等乡村振兴项目；投入1.21亿元补贴12623台农机购置；投入2.52亿元支持10.1万亩高标准农田建设；安排0.3亿元农业保险财政补贴保费贯彻落实农业保险政策。</w:t>
      </w:r>
      <w:r>
        <w:rPr>
          <w:rFonts w:hint="eastAsia" w:ascii="Times New Roman" w:hAnsi="Times New Roman" w:eastAsia="仿宋_GB2312" w:cs="仿宋_GB2312"/>
          <w:b/>
          <w:bCs/>
          <w:sz w:val="32"/>
          <w:szCs w:val="32"/>
          <w:lang w:val="en-US" w:eastAsia="zh-CN"/>
        </w:rPr>
        <w:t>八是落实就业政策。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  <w:t>安排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0.2亿元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  <w:t>就业补贴专项资金，支持企业减负稳岗发展、重点群体就业创业、职业技能培训等方面，对1694 户企业实施普惠性失业保险稳岗返还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0.1亿元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  <w:t>。</w:t>
      </w:r>
    </w:p>
    <w:p w14:paraId="3A9633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outlineLvl w:val="1"/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楷体_GBK" w:cs="方正楷体_GBK"/>
          <w:b/>
          <w:bCs/>
          <w:sz w:val="32"/>
          <w:szCs w:val="32"/>
          <w:highlight w:val="none"/>
          <w:lang w:val="en-US" w:eastAsia="zh-CN"/>
        </w:rPr>
        <w:t>（五）改革创新，推动财政管理科学化。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一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是深化零基预算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改革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。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深化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零基预算改革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，2026年度预算编制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以财政可持续发展为统领，坚持“零基+限额”双轨并行，加大财政资源统筹，统一预算分配权，强化预算刚性约束，严格支出标准，提高年初预算编制到位率，减少预算资金二次分配和部门间横向资金分配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，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实现“打破基数、促进统筹、保障重点”的改革初衷，为集中财力落实县委县政府重大决策部署提供了坚实的保障。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二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是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优化镇级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财政体制。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优化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调整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开发区及镇级财政管理体制，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理顺县镇财政分配关系，调动镇级培植财源的积极性，本着保障和防范镇级“三保”风险，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财力向镇级财政倾斜，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形成《进一步完善镇级财政管理体制的意见》、《调整完善江苏金湖经济开发区财政体制方案》。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三是强化财会监督。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  <w:t>根据中央与省级财会监督文件精神及省厅2025年工作要点，制定了涉及4个政策执行、3个预算管理、2个会计监督及1个其他等10个年度检查计划项目，进一步</w:t>
      </w:r>
      <w:r>
        <w:rPr>
          <w:rFonts w:hint="eastAsia" w:ascii="Times New Roman" w:hAnsi="Times New Roman" w:eastAsia="仿宋_GB2312" w:cs="仿宋_GB2312"/>
          <w:sz w:val="32"/>
          <w:szCs w:val="32"/>
        </w:rPr>
        <w:t>严肃财经纪律，维护财经秩序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四是硬化绩效约束。</w:t>
      </w:r>
      <w:r>
        <w:rPr>
          <w:rFonts w:hint="eastAsia" w:ascii="Times New Roman" w:hAnsi="Times New Roman" w:eastAsia="仿宋_GB2312" w:cs="仿宋_GB2312"/>
          <w:sz w:val="32"/>
          <w:szCs w:val="32"/>
        </w:rPr>
        <w:t>对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14个省市重大</w:t>
      </w:r>
      <w:r>
        <w:rPr>
          <w:rFonts w:hint="eastAsia" w:ascii="Times New Roman" w:hAnsi="Times New Roman" w:eastAsia="仿宋_GB2312" w:cs="仿宋_GB2312"/>
          <w:sz w:val="32"/>
          <w:szCs w:val="32"/>
        </w:rPr>
        <w:t>项目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涉及财政资金5.63亿和35个县本级项目涉及财政资金0.66亿</w:t>
      </w:r>
      <w:r>
        <w:rPr>
          <w:rFonts w:hint="eastAsia" w:ascii="Times New Roman" w:hAnsi="Times New Roman" w:eastAsia="仿宋_GB2312" w:cs="仿宋_GB2312"/>
          <w:sz w:val="32"/>
          <w:szCs w:val="32"/>
        </w:rPr>
        <w:t>进行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财政再</w:t>
      </w:r>
      <w:r>
        <w:rPr>
          <w:rFonts w:hint="eastAsia" w:ascii="Times New Roman" w:hAnsi="Times New Roman" w:eastAsia="仿宋_GB2312" w:cs="仿宋_GB2312"/>
          <w:sz w:val="32"/>
          <w:szCs w:val="32"/>
        </w:rPr>
        <w:t>评价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共发出49份整改通知，推动绩效管理从“夯基础”向“提质效”转变，压实部门预算绩效管理主体责任，深化绩效结果转化应用。</w:t>
      </w:r>
    </w:p>
    <w:p w14:paraId="3409B12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outlineLvl w:val="1"/>
        <w:rPr>
          <w:rFonts w:hint="eastAsia" w:ascii="Times New Roman" w:hAnsi="Times New Roman" w:eastAsia="方正楷体_GBK" w:cs="方正楷体_GBK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楷体_GBK" w:cs="方正楷体_GBK"/>
          <w:b/>
          <w:bCs/>
          <w:sz w:val="32"/>
          <w:szCs w:val="32"/>
          <w:highlight w:val="none"/>
          <w:lang w:val="en-US" w:eastAsia="zh-CN"/>
        </w:rPr>
        <w:t>（六）严管国企，引领国企管理精细化。</w:t>
      </w:r>
      <w:r>
        <w:rPr>
          <w:rFonts w:hint="eastAsia" w:ascii="Times New Roman" w:hAnsi="Times New Roman" w:eastAsia="仿宋_GB2312" w:cs="仿宋_GB2312"/>
          <w:b/>
          <w:bCs/>
          <w:color w:val="auto"/>
          <w:sz w:val="32"/>
          <w:szCs w:val="32"/>
          <w:lang w:val="en-US" w:eastAsia="zh-CN"/>
        </w:rPr>
        <w:t>一是持续规范国企融资。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按照“双管控”目标，依托竞融债管平台实现国有企业融资成本线上公开竞价，有效压降国有企业经营性债务增幅及融资综合成本，实现了连续三年下降的“双管控”目标。二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是攻坚国企改革。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通过全面推进统一监管、整合重组、机制创新和风险防控，打破“多头管理”格局，实现国有企业从行政化导向向市场化导向的根本转变。国企改革深化提升行动任务完成率达100%，核心改革任务得到有效落实。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三是优化国企考核细则。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根据“一企一策”方针，从风险防控、经济效益、国企改革、国资监管、年度重点项目任务、扣分项等方面进行考核，进一步优化了国企考核体系。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四是深化国有企业预决算管理改革。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以预算为核心抓手与刚性约束，实施全面穿透式债务管控。通过建立覆盖债务“借、用、管、还”全周期的预算管理体系，严控债务规模、优化结构、降低成本、落实偿债来源，筑牢重大债务风险防控底线。</w:t>
      </w:r>
    </w:p>
    <w:p w14:paraId="62FE137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outlineLvl w:val="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楷体_GBK" w:cs="方正楷体_GBK"/>
          <w:b/>
          <w:bCs/>
          <w:sz w:val="32"/>
          <w:szCs w:val="32"/>
          <w:highlight w:val="none"/>
          <w:lang w:val="en-US" w:eastAsia="zh-CN"/>
        </w:rPr>
        <w:t>（七）正风肃纪，锤炼党性修养固根本。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一是推动党建工作走深走实。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举办“万名党员进党校”专题培训班，用党的创新理论武装头脑、指导实践、推动工作；深化“党员爸妈”制度。于重大节假日期间组织“党员爸妈”到结对孤残儿童家中慰问，给予关怀；开展参观中国大运河博物馆、植树节活动等多项实境教育活动，增强党组织的向心力和凝聚力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二是严抓党风廉政建设工作。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全年组织2次党委理论学习中心组专题学习党风廉政建设内容，召开5次党风廉政专题工作会议，不断提高党员干部政治判断力、领悟力与执行力；组织党员干部观看《零容忍》等警示教育片，开展各类党风廉政建设活动，引导全系统党员干部</w:t>
      </w:r>
      <w:r>
        <w:rPr>
          <w:rFonts w:hint="eastAsia" w:ascii="Times New Roman" w:hAnsi="Times New Roman" w:eastAsia="仿宋_GB2312"/>
          <w:sz w:val="32"/>
          <w:szCs w:val="32"/>
        </w:rPr>
        <w:t>守住廉政风险底线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。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三是加强人才队伍建设。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重视干部选拔与年轻人才培养，经常性给年轻同志压担子、架梯子，充分调动财政年轻同志干事创业的积极性，搭建施展才华的舞台。全年提拔交流股级干部17名，新招录10名事业人员，为国控、国尧等国企引进专业人才10余名。</w:t>
      </w:r>
    </w:p>
    <w:p w14:paraId="4096007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0"/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二、2026年工作计划</w:t>
      </w:r>
    </w:p>
    <w:p w14:paraId="5C51654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outlineLvl w:val="1"/>
        <w:rPr>
          <w:rFonts w:hint="eastAsia" w:ascii="Times New Roman" w:hAnsi="Times New Roman" w:eastAsia="方正楷体_GBK" w:cs="方正楷体_GBK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楷体_GBK" w:cs="方正楷体_GBK"/>
          <w:b/>
          <w:bCs/>
          <w:sz w:val="32"/>
          <w:szCs w:val="32"/>
          <w:lang w:val="en-US" w:eastAsia="zh-CN"/>
        </w:rPr>
        <w:t>（一）精细组织收入，培植稳定优质财源。</w:t>
      </w:r>
      <w:r>
        <w:rPr>
          <w:rFonts w:hint="eastAsia" w:ascii="仿宋_GB2312" w:hAnsi="仿宋" w:eastAsia="仿宋_GB2312" w:cs="仿宋"/>
          <w:b/>
          <w:bCs/>
          <w:sz w:val="32"/>
          <w:szCs w:val="32"/>
          <w:lang w:val="en-US" w:eastAsia="zh-CN"/>
        </w:rPr>
        <w:t>一是强化税源精准监管。</w:t>
      </w:r>
      <w:r>
        <w:rPr>
          <w:rFonts w:hint="eastAsia" w:ascii="仿宋_GB2312" w:hAnsi="仿宋" w:eastAsia="仿宋_GB2312" w:cs="仿宋"/>
          <w:b w:val="0"/>
          <w:bCs w:val="0"/>
          <w:sz w:val="32"/>
          <w:szCs w:val="32"/>
          <w:lang w:val="en-US" w:eastAsia="zh-CN"/>
        </w:rPr>
        <w:t>加强重点税源企业服务，</w:t>
      </w:r>
      <w:r>
        <w:rPr>
          <w:rFonts w:hint="eastAsia" w:ascii="仿宋_GB2312" w:hAnsi="仿宋" w:eastAsia="仿宋_GB2312" w:cs="仿宋"/>
          <w:b w:val="0"/>
          <w:bCs w:val="0"/>
          <w:sz w:val="32"/>
          <w:szCs w:val="32"/>
        </w:rPr>
        <w:t>支持产业链关键企业提升自主创新能力，推动产业升级，带动税收增收</w:t>
      </w:r>
      <w:r>
        <w:rPr>
          <w:rFonts w:hint="eastAsia" w:ascii="仿宋_GB2312" w:hAnsi="仿宋" w:eastAsia="仿宋_GB2312" w:cs="仿宋"/>
          <w:b w:val="0"/>
          <w:bCs w:val="0"/>
          <w:sz w:val="32"/>
          <w:szCs w:val="32"/>
          <w:lang w:val="en-US" w:eastAsia="zh-CN"/>
        </w:rPr>
        <w:t>；加强一次性税源排查力度，跟踪重点建设项目纳税情况，确保税收及时足额入库，应收尽收。</w:t>
      </w:r>
      <w:r>
        <w:rPr>
          <w:rFonts w:hint="eastAsia" w:ascii="仿宋_GB2312" w:hAnsi="仿宋" w:eastAsia="仿宋_GB2312" w:cs="仿宋"/>
          <w:b/>
          <w:bCs/>
          <w:sz w:val="32"/>
          <w:szCs w:val="32"/>
          <w:lang w:val="en-US" w:eastAsia="zh-CN"/>
        </w:rPr>
        <w:t>二是加大资产盘活力度。</w:t>
      </w:r>
      <w:r>
        <w:rPr>
          <w:rFonts w:hint="eastAsia" w:ascii="仿宋_GB2312" w:hAnsi="仿宋" w:eastAsia="仿宋_GB2312" w:cs="仿宋"/>
          <w:b w:val="0"/>
          <w:bCs w:val="0"/>
          <w:sz w:val="32"/>
          <w:szCs w:val="32"/>
          <w:lang w:val="en-US" w:eastAsia="zh-CN"/>
        </w:rPr>
        <w:t>建立健全闲置资产数据库和盘活机制。积极运用市场化手段，推动符合条件的闲置资产通过置换、出租、处置等方式实现优化配置和价值提升。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三是强化重大项目带动作用。</w:t>
      </w:r>
      <w:r>
        <w:rPr>
          <w:rFonts w:hint="default" w:ascii="仿宋_GB2312" w:hAnsi="仿宋" w:eastAsia="仿宋_GB2312" w:cs="仿宋"/>
          <w:sz w:val="32"/>
          <w:szCs w:val="32"/>
        </w:rPr>
        <w:t>聚焦产业和园区高质量发展</w:t>
      </w:r>
      <w:r>
        <w:rPr>
          <w:rFonts w:hint="eastAsia" w:ascii="仿宋_GB2312" w:hAnsi="仿宋" w:eastAsia="仿宋_GB2312" w:cs="仿宋"/>
          <w:b w:val="0"/>
          <w:bCs w:val="0"/>
          <w:sz w:val="32"/>
          <w:szCs w:val="32"/>
          <w:lang w:val="en-US" w:eastAsia="zh-CN"/>
        </w:rPr>
        <w:t>，推动重点项目落地投产，充分挖掘增量税源。从“两重两新”、新质生产力发展等方面入手，稳步推进重点基础设施项目，带动相关产业行业税收增收。</w:t>
      </w:r>
    </w:p>
    <w:p w14:paraId="2D24917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outlineLvl w:val="1"/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楷体_GBK" w:cs="方正楷体_GBK"/>
          <w:b/>
          <w:bCs/>
          <w:sz w:val="32"/>
          <w:szCs w:val="32"/>
          <w:lang w:val="en-US" w:eastAsia="zh-CN"/>
        </w:rPr>
        <w:t>（二）硬化预算约束，不断优化支出结构。</w:t>
      </w:r>
      <w:r>
        <w:rPr>
          <w:rFonts w:hint="eastAsia" w:ascii="仿宋_GB2312" w:hAnsi="仿宋" w:eastAsia="仿宋_GB2312" w:cs="仿宋"/>
          <w:b/>
          <w:bCs/>
          <w:sz w:val="32"/>
          <w:szCs w:val="32"/>
          <w:lang w:val="en-US" w:eastAsia="zh-CN"/>
        </w:rPr>
        <w:t>一是</w:t>
      </w:r>
      <w:r>
        <w:rPr>
          <w:rFonts w:hint="default" w:ascii="仿宋_GB2312" w:hAnsi="仿宋" w:eastAsia="仿宋_GB2312" w:cs="仿宋"/>
          <w:b/>
          <w:bCs/>
          <w:sz w:val="32"/>
          <w:szCs w:val="32"/>
          <w:lang w:val="en-US" w:eastAsia="zh-CN"/>
        </w:rPr>
        <w:t>强化预算</w:t>
      </w:r>
      <w:r>
        <w:rPr>
          <w:rFonts w:hint="eastAsia" w:ascii="仿宋_GB2312" w:hAnsi="仿宋" w:eastAsia="仿宋_GB2312" w:cs="仿宋"/>
          <w:b/>
          <w:bCs/>
          <w:sz w:val="32"/>
          <w:szCs w:val="32"/>
          <w:lang w:val="en-US" w:eastAsia="zh-CN"/>
        </w:rPr>
        <w:t>管理</w:t>
      </w:r>
      <w:r>
        <w:rPr>
          <w:rFonts w:hint="default" w:ascii="仿宋_GB2312" w:hAnsi="仿宋" w:eastAsia="仿宋_GB2312" w:cs="仿宋"/>
          <w:b/>
          <w:bCs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_GB2312" w:cs="仿宋"/>
          <w:b w:val="0"/>
          <w:bCs w:val="0"/>
          <w:sz w:val="32"/>
          <w:szCs w:val="32"/>
          <w:lang w:val="en-US" w:eastAsia="zh-CN"/>
        </w:rPr>
        <w:t>严格执行零基预算，以可用财力为刚性约束，全面加强财政承受能力评估，严审新增支出政策，对超财力项目不予安排</w:t>
      </w:r>
      <w:r>
        <w:rPr>
          <w:rFonts w:hint="eastAsia" w:ascii="Times New Roman" w:hAnsi="Times New Roman" w:eastAsia="仿宋_GB2312" w:cs="仿宋"/>
          <w:b w:val="0"/>
          <w:bCs w:val="0"/>
          <w:sz w:val="32"/>
          <w:szCs w:val="32"/>
          <w:lang w:val="en-US" w:eastAsia="zh-CN"/>
        </w:rPr>
        <w:t>；</w:t>
      </w:r>
      <w:r>
        <w:rPr>
          <w:rFonts w:hint="default" w:ascii="Times New Roman" w:hAnsi="Times New Roman" w:eastAsia="仿宋_GB2312" w:cs="仿宋"/>
          <w:b w:val="0"/>
          <w:bCs w:val="0"/>
          <w:sz w:val="32"/>
          <w:szCs w:val="32"/>
          <w:lang w:val="en-US" w:eastAsia="zh-CN"/>
        </w:rPr>
        <w:t>严格预算执行，严控预算追加，规范调剂程序，切实维护预算严肃性与权威性。</w:t>
      </w:r>
      <w:r>
        <w:rPr>
          <w:rFonts w:hint="eastAsia" w:ascii="Times New Roman" w:hAnsi="Times New Roman" w:eastAsia="仿宋_GB2312" w:cs="仿宋"/>
          <w:b/>
          <w:bCs/>
          <w:sz w:val="32"/>
          <w:szCs w:val="32"/>
          <w:lang w:val="en-US" w:eastAsia="zh-CN"/>
        </w:rPr>
        <w:t>二是合理</w:t>
      </w:r>
      <w:r>
        <w:rPr>
          <w:rFonts w:hint="default" w:ascii="Times New Roman" w:hAnsi="Times New Roman" w:eastAsia="仿宋_GB2312" w:cs="仿宋"/>
          <w:b/>
          <w:bCs/>
          <w:sz w:val="32"/>
          <w:szCs w:val="32"/>
          <w:lang w:val="en-US" w:eastAsia="zh-CN"/>
        </w:rPr>
        <w:t>保障民生</w:t>
      </w:r>
      <w:r>
        <w:rPr>
          <w:rFonts w:hint="eastAsia" w:ascii="Times New Roman" w:hAnsi="Times New Roman" w:eastAsia="仿宋_GB2312" w:cs="仿宋"/>
          <w:b/>
          <w:bCs/>
          <w:sz w:val="32"/>
          <w:szCs w:val="32"/>
          <w:lang w:val="en-US" w:eastAsia="zh-CN"/>
        </w:rPr>
        <w:t>。</w:t>
      </w:r>
      <w:r>
        <w:rPr>
          <w:rFonts w:hint="eastAsia" w:ascii="Times New Roman" w:hAnsi="Times New Roman" w:eastAsia="仿宋_GB2312" w:cs="仿宋"/>
          <w:b w:val="0"/>
          <w:bCs w:val="0"/>
          <w:sz w:val="32"/>
          <w:szCs w:val="32"/>
          <w:lang w:val="en-US" w:eastAsia="zh-CN"/>
        </w:rPr>
        <w:t>加强基本民生财力保障，把有限的财政资金用在发展紧要处、民生急需上。</w:t>
      </w:r>
      <w:r>
        <w:rPr>
          <w:rFonts w:hint="eastAsia" w:ascii="Times New Roman" w:hAnsi="Times New Roman" w:eastAsia="仿宋_GB2312" w:cs="仿宋"/>
          <w:b/>
          <w:bCs/>
          <w:sz w:val="32"/>
          <w:szCs w:val="32"/>
          <w:lang w:val="en-US" w:eastAsia="zh-CN"/>
        </w:rPr>
        <w:t>三是加强乡镇财政资金使用监管。</w:t>
      </w:r>
      <w:r>
        <w:rPr>
          <w:rFonts w:hint="eastAsia" w:ascii="Times New Roman" w:hAnsi="Times New Roman" w:eastAsia="仿宋_GB2312" w:cs="仿宋"/>
          <w:b w:val="0"/>
          <w:bCs w:val="0"/>
          <w:sz w:val="32"/>
          <w:szCs w:val="32"/>
          <w:lang w:val="en-US" w:eastAsia="zh-CN"/>
        </w:rPr>
        <w:t>利用专项整治成果，指导乡镇财政建立长效机制，推动镇街完善内控制度、规范外包服务管理、严格执行财经纪律，并适时组织抽查检查，巩固整治成果。</w:t>
      </w:r>
      <w:r>
        <w:rPr>
          <w:rFonts w:hint="eastAsia" w:ascii="Times New Roman" w:hAnsi="Times New Roman" w:eastAsia="仿宋_GB2312" w:cs="仿宋_GB2312"/>
          <w:b/>
          <w:bCs/>
          <w:sz w:val="32"/>
          <w:szCs w:val="32"/>
          <w:lang w:val="en-US" w:eastAsia="zh-CN"/>
        </w:rPr>
        <w:t>四是提升资产配置效率。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  <w:t>促进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资产配置与预算安排、单位履职需求衔接更加紧密，有效遏制资产闲置浪费现象，促进“公物仓”等共享机制发挥更大效用，加快实现国有资产共享共用。</w:t>
      </w:r>
    </w:p>
    <w:p w14:paraId="4EDD7C8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outlineLvl w:val="1"/>
        <w:rPr>
          <w:rFonts w:hint="eastAsia" w:ascii="Times New Roman" w:hAnsi="Times New Roman" w:eastAsia="方正楷体_GBK" w:cs="方正楷体_GBK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楷体_GBK" w:cs="方正楷体_GBK"/>
          <w:b/>
          <w:bCs/>
          <w:sz w:val="32"/>
          <w:szCs w:val="32"/>
          <w:lang w:val="en-US" w:eastAsia="zh-CN"/>
        </w:rPr>
        <w:t>（三）深化改革创新，增强发展内生动力。</w:t>
      </w:r>
      <w:r>
        <w:rPr>
          <w:rFonts w:hint="eastAsia" w:ascii="Times New Roman" w:hAnsi="Times New Roman" w:eastAsia="仿宋_GB2312" w:cs="仿宋_GB2312"/>
          <w:b/>
          <w:bCs/>
          <w:sz w:val="32"/>
          <w:szCs w:val="32"/>
          <w:lang w:val="en-US" w:eastAsia="zh-CN"/>
        </w:rPr>
        <w:t>一是强化绩效闭环管理。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对30万元以上的专项资金项目，实行项目绩效目标实现程度与预算执行进度“双监控”。探索预算成本绩效管理，评价结果与预算安排挂钩机制，对结果较差的项目提出资金调整或压减建议。</w:t>
      </w:r>
      <w:r>
        <w:rPr>
          <w:rFonts w:hint="eastAsia" w:ascii="Times New Roman" w:hAnsi="Times New Roman" w:eastAsia="仿宋_GB2312" w:cs="仿宋_GB2312"/>
          <w:b/>
          <w:bCs/>
          <w:sz w:val="32"/>
          <w:szCs w:val="32"/>
          <w:lang w:val="en-US" w:eastAsia="zh-CN"/>
        </w:rPr>
        <w:t>二是全面推进国企治理机制改革。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规范董事会运行，全面推行经理层任期制与契约化管理；构建个性化企业考核与薪酬体系，强化营业收入、利润总额、资产保值增值等关键指标考核；同步实施人员分岗定效改革，建立岗位适配与量化绩效体系，推动人岗相适、绩酬匹配，激发企业内生活力与发展动能。</w:t>
      </w:r>
      <w:r>
        <w:rPr>
          <w:rFonts w:hint="eastAsia" w:ascii="Times New Roman" w:hAnsi="Times New Roman" w:eastAsia="仿宋_GB2312" w:cs="仿宋_GB2312"/>
          <w:b/>
          <w:bCs/>
          <w:sz w:val="32"/>
          <w:szCs w:val="32"/>
          <w:lang w:val="en-US" w:eastAsia="zh-CN"/>
        </w:rPr>
        <w:t>三是充分利用“公物仓”提升效能。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拓展“公物仓”覆盖范围和资产种类，探索将部分政府闲置房产、大型设备等纳入“公物仓”管理。充分利用线上“虚拟公物仓”，实现供需线上匹配、线下配送，推动“公物仓”模式向各镇（街道）延伸，构建全县一体化的资产调剂共享网络。</w:t>
      </w:r>
    </w:p>
    <w:p w14:paraId="29460A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</w:pPr>
      <w:r>
        <w:rPr>
          <w:rFonts w:hint="eastAsia" w:ascii="Times New Roman" w:hAnsi="Times New Roman" w:eastAsia="方正楷体_GBK" w:cs="方正楷体_GBK"/>
          <w:b/>
          <w:bCs/>
          <w:sz w:val="32"/>
          <w:szCs w:val="32"/>
          <w:lang w:val="en-US" w:eastAsia="zh-CN"/>
        </w:rPr>
        <w:t>（四）强化底线思维，防范化解风险隐患。一是</w:t>
      </w:r>
      <w:r>
        <w:rPr>
          <w:rFonts w:hint="eastAsia" w:ascii="Times New Roman" w:hAnsi="Times New Roman" w:eastAsia="仿宋_GB2312" w:cs="仿宋_GB2312"/>
          <w:b/>
          <w:bCs/>
          <w:sz w:val="32"/>
          <w:szCs w:val="32"/>
          <w:lang w:val="en-US" w:eastAsia="zh-CN"/>
        </w:rPr>
        <w:t>牢固树立风险意识。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强化“红线”意识，规范各项融资举债行为，加强对融资平台、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政府购买服务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等融资行为的监管，坚决杜绝违法违规融资举债。严格管控融资规模和融资成本，执行债务管控要求，对新上项目提级管理，并将债务规模与融资成本（上限7%）控制在市定目标以内。</w:t>
      </w:r>
      <w:r>
        <w:rPr>
          <w:rFonts w:hint="eastAsia" w:ascii="Times New Roman" w:hAnsi="Times New Roman" w:eastAsia="仿宋_GB2312" w:cs="仿宋_GB2312"/>
          <w:b/>
          <w:bCs/>
          <w:sz w:val="32"/>
          <w:szCs w:val="32"/>
          <w:lang w:val="en-US" w:eastAsia="zh-CN"/>
        </w:rPr>
        <w:t>二是筑牢兜实基本民生底线。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  <w:t>筹中央、省、市补助资金，优先安排“三保”预算，“三保”预算支出坚持国家和省级标准，严格按既定项目、保障对象和保障范围足额编制“三保”预算，确保不留“三保”预算硬缺口。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F8333A"/>
    <w:rsid w:val="007625D0"/>
    <w:rsid w:val="065D535C"/>
    <w:rsid w:val="099948FD"/>
    <w:rsid w:val="3DAE7C70"/>
    <w:rsid w:val="3EF8333A"/>
    <w:rsid w:val="566D3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4303</Words>
  <Characters>4506</Characters>
  <Lines>0</Lines>
  <Paragraphs>0</Paragraphs>
  <TotalTime>15</TotalTime>
  <ScaleCrop>false</ScaleCrop>
  <LinksUpToDate>false</LinksUpToDate>
  <CharactersWithSpaces>4507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2025-12-24T09:03:00Z</dcterms:created>
  <dc:creator>Admin</dc:creator>
  <cp:lastModifiedBy>Admin</cp:lastModifiedBy>
  <dcterms:modified xsi:type="dcterms:W3CDTF">2025-12-24T09:32:07Z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51B514AEAAF04CB3AD2DC783CA27AD33_11</vt:lpwstr>
  </property>
  <property fmtid="{D5CDD505-2E9C-101B-9397-08002B2CF9AE}" pid="4" name="KSOTemplateDocerSaveRecord">
    <vt:lpwstr>eyJoZGlkIjoiZjM2ODBlZjA3YmQyNjkyMGE1ZmUzNWMwN2EwMWRhMGEiLCJ1c2VySWQiOiI2NTI2NTA1NTEifQ==</vt:lpwstr>
  </property>
</Properties>
</file>