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szCs w:val="21"/>
          <w:highlight w:val="none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lang w:val="en-US" w:eastAsia="zh-CN"/>
        </w:rPr>
        <w:t>2025年省级现代农业发展项目金湖县农药减量展示片采购项目公告</w:t>
      </w:r>
    </w:p>
    <w:p w14:paraId="41846955">
      <w:pPr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一、采购项目</w:t>
      </w:r>
    </w:p>
    <w:p w14:paraId="5F1867F9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项目名称：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2025年省级现代农业发展项目金湖县农药减量展示片采购项目</w:t>
      </w:r>
    </w:p>
    <w:p w14:paraId="0DCCF42C">
      <w:pPr>
        <w:snapToGrid w:val="0"/>
        <w:spacing w:line="360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二、项目简要说明及最高限价</w:t>
      </w:r>
    </w:p>
    <w:p w14:paraId="67343B93">
      <w:pPr>
        <w:snapToGrid w:val="0"/>
        <w:spacing w:line="360" w:lineRule="auto"/>
        <w:ind w:firstLine="440" w:firstLineChars="20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内容：</w:t>
      </w:r>
    </w:p>
    <w:tbl>
      <w:tblPr>
        <w:tblStyle w:val="7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50"/>
        <w:gridCol w:w="750"/>
        <w:gridCol w:w="837"/>
        <w:gridCol w:w="4502"/>
        <w:gridCol w:w="1161"/>
      </w:tblGrid>
      <w:tr w14:paraId="5CC6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3" w:type="dxa"/>
            <w:vAlign w:val="center"/>
          </w:tcPr>
          <w:p w14:paraId="6142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7434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0" w:type="dxa"/>
            <w:vAlign w:val="center"/>
          </w:tcPr>
          <w:p w14:paraId="2868D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37" w:type="dxa"/>
            <w:vAlign w:val="center"/>
          </w:tcPr>
          <w:p w14:paraId="06EA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7BD0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参数及要求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74A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最高限价</w:t>
            </w:r>
          </w:p>
        </w:tc>
      </w:tr>
      <w:tr w14:paraId="1122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03D0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56DE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含低聚糖素的单剂或复配剂</w:t>
            </w:r>
          </w:p>
        </w:tc>
        <w:tc>
          <w:tcPr>
            <w:tcW w:w="750" w:type="dxa"/>
            <w:vAlign w:val="center"/>
          </w:tcPr>
          <w:p w14:paraId="6266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837" w:type="dxa"/>
            <w:vAlign w:val="center"/>
          </w:tcPr>
          <w:p w14:paraId="2D07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6B32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1000毫升/瓶,防治水稻纹枯病，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提供农药登记证、产品检测报告，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</w:rPr>
              <w:t>不满足作无效标处理。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14:paraId="009A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  <w:t>140000元</w:t>
            </w:r>
          </w:p>
        </w:tc>
      </w:tr>
      <w:tr w14:paraId="7A9B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5B59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 w14:paraId="0DF2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12.5%多杀素·氯虫苯悬浮剂</w:t>
            </w:r>
          </w:p>
        </w:tc>
        <w:tc>
          <w:tcPr>
            <w:tcW w:w="750" w:type="dxa"/>
            <w:vAlign w:val="center"/>
          </w:tcPr>
          <w:p w14:paraId="5517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837" w:type="dxa"/>
            <w:vAlign w:val="center"/>
          </w:tcPr>
          <w:p w14:paraId="166F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0524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150克/瓶，防治水稻二化螟、稻纵卷叶螟，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提供农药登记证、产品检测报告，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</w:rPr>
              <w:t>不满足作无效标处理。</w:t>
            </w:r>
          </w:p>
        </w:tc>
        <w:tc>
          <w:tcPr>
            <w:tcW w:w="1161" w:type="dxa"/>
            <w:vMerge w:val="continue"/>
            <w:shd w:val="clear" w:color="auto" w:fill="auto"/>
            <w:vAlign w:val="center"/>
          </w:tcPr>
          <w:p w14:paraId="7A44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F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2BC8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 w14:paraId="7944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</w:rPr>
              <w:t>6%春雷霉素可溶液剂</w:t>
            </w:r>
          </w:p>
        </w:tc>
        <w:tc>
          <w:tcPr>
            <w:tcW w:w="750" w:type="dxa"/>
            <w:vAlign w:val="center"/>
          </w:tcPr>
          <w:p w14:paraId="3F7D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837" w:type="dxa"/>
            <w:vAlign w:val="center"/>
          </w:tcPr>
          <w:p w14:paraId="17DD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7D47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500克/瓶，防治水稻稻瘟病、水稻细菌性条斑病，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提供农药登记证、产品检测报告，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</w:rPr>
              <w:t>不满足作无效标处理。</w:t>
            </w:r>
          </w:p>
        </w:tc>
        <w:tc>
          <w:tcPr>
            <w:tcW w:w="1161" w:type="dxa"/>
            <w:vMerge w:val="continue"/>
            <w:shd w:val="clear" w:color="auto" w:fill="auto"/>
            <w:vAlign w:val="center"/>
          </w:tcPr>
          <w:p w14:paraId="4BDB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350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6827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 w14:paraId="15C1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48%肟菌·戊唑醇悬浮剂</w:t>
            </w:r>
          </w:p>
        </w:tc>
        <w:tc>
          <w:tcPr>
            <w:tcW w:w="750" w:type="dxa"/>
            <w:vAlign w:val="center"/>
          </w:tcPr>
          <w:p w14:paraId="6B50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837" w:type="dxa"/>
            <w:vAlign w:val="center"/>
          </w:tcPr>
          <w:p w14:paraId="282F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1648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500克/瓶，防治小麦赤霉病或水稻稻曲病，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提供农药登记证、产品检测报告，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</w:rPr>
              <w:t>不满足作无效标处理。</w:t>
            </w:r>
          </w:p>
        </w:tc>
        <w:tc>
          <w:tcPr>
            <w:tcW w:w="1161" w:type="dxa"/>
            <w:vMerge w:val="continue"/>
            <w:shd w:val="clear" w:color="auto" w:fill="auto"/>
            <w:vAlign w:val="center"/>
          </w:tcPr>
          <w:p w14:paraId="2E1A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DAE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393F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vAlign w:val="center"/>
          </w:tcPr>
          <w:p w14:paraId="7D2E6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70%吡蚜·呋虫胺水分散粒剂</w:t>
            </w:r>
          </w:p>
        </w:tc>
        <w:tc>
          <w:tcPr>
            <w:tcW w:w="750" w:type="dxa"/>
            <w:vAlign w:val="center"/>
          </w:tcPr>
          <w:p w14:paraId="42E5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837" w:type="dxa"/>
            <w:vAlign w:val="center"/>
          </w:tcPr>
          <w:p w14:paraId="6FB9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59E6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80克/瓶，防治水稻稻飞虱，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提供农药登记证、产品检测报告，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</w:rPr>
              <w:t>不满足作无效标处理。</w:t>
            </w:r>
          </w:p>
        </w:tc>
        <w:tc>
          <w:tcPr>
            <w:tcW w:w="1161" w:type="dxa"/>
            <w:vMerge w:val="continue"/>
            <w:shd w:val="clear" w:color="auto" w:fill="auto"/>
            <w:vAlign w:val="center"/>
          </w:tcPr>
          <w:p w14:paraId="410D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F5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45BF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  <w:vAlign w:val="center"/>
          </w:tcPr>
          <w:p w14:paraId="5EFF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  <w:t>10%阿维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  <w:t>氯苯酰悬浮剂</w:t>
            </w:r>
          </w:p>
        </w:tc>
        <w:tc>
          <w:tcPr>
            <w:tcW w:w="750" w:type="dxa"/>
            <w:vAlign w:val="center"/>
          </w:tcPr>
          <w:p w14:paraId="18B5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  <w:t>瓶</w:t>
            </w:r>
          </w:p>
        </w:tc>
        <w:tc>
          <w:tcPr>
            <w:tcW w:w="837" w:type="dxa"/>
            <w:vAlign w:val="center"/>
          </w:tcPr>
          <w:p w14:paraId="1A96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1B0E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500克/瓶，防治水稻稻纵卷叶螟，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提供农药登记证、产品检测报告，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</w:rPr>
              <w:t>不满足作无效标处理。</w:t>
            </w:r>
          </w:p>
        </w:tc>
        <w:tc>
          <w:tcPr>
            <w:tcW w:w="1161" w:type="dxa"/>
            <w:vMerge w:val="continue"/>
            <w:shd w:val="clear" w:color="auto" w:fill="auto"/>
            <w:vAlign w:val="center"/>
          </w:tcPr>
          <w:p w14:paraId="7484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B0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7501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99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0.003%丙酰芸苔素内酯可溶液剂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A4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171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  <w:t>400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0F61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50毫升/瓶，小麦调节生长，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提供农药登记证、产品检测报告，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</w:rPr>
              <w:t>不满足作无效标处理。</w:t>
            </w:r>
          </w:p>
        </w:tc>
        <w:tc>
          <w:tcPr>
            <w:tcW w:w="1161" w:type="dxa"/>
            <w:vMerge w:val="continue"/>
            <w:shd w:val="clear" w:color="auto" w:fill="auto"/>
            <w:vAlign w:val="center"/>
          </w:tcPr>
          <w:p w14:paraId="3359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228CA0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C0F7F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2" w:firstLineChars="200"/>
        <w:textAlignment w:val="auto"/>
        <w:rPr>
          <w:rFonts w:hint="default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采购预算价：本项目设有招标最高限价为14万元，最终报价超招标最高限价的取消询价资格。</w:t>
      </w:r>
    </w:p>
    <w:p w14:paraId="13E9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2" w:firstLineChars="200"/>
        <w:textAlignment w:val="auto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三、供应商资格要求</w:t>
      </w:r>
    </w:p>
    <w:p w14:paraId="5C86E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（1）、具有独立订立合同的能力。（提供营业执照复印件加盖公章）；</w:t>
      </w:r>
    </w:p>
    <w:p w14:paraId="5C34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（2）、报价供应商未处于被责令停业、投标资格被取消或者财产被接管、冻结和破产状态；企业近三年在经营活动中没有重大违法记录行为；资格审查的重要内容没有失实或者弄虚作假（提供承诺书原件加盖公章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格式自拟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 xml:space="preserve">）； </w:t>
      </w:r>
    </w:p>
    <w:p w14:paraId="6B58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（3）、本次项目不接受联合体询价；</w:t>
      </w:r>
    </w:p>
    <w:p w14:paraId="16738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）、报价供应商提供下列之一：</w:t>
      </w:r>
    </w:p>
    <w:p w14:paraId="23B8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①、报价供应商提供法定代表人资格证明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原件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和身份证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复印件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；（法人参加询价）</w:t>
      </w:r>
    </w:p>
    <w:p w14:paraId="61919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②、报价供应商提供授权委托书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原件和委托人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身份证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复印件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；（受托人参加询价）</w:t>
      </w:r>
    </w:p>
    <w:p w14:paraId="6C30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2" w:firstLineChars="200"/>
        <w:textAlignment w:val="auto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四、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文件的获取</w:t>
      </w:r>
    </w:p>
    <w:p w14:paraId="081D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获取方式：参加本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的投标人请一并填写投标人参与投标确认函（见附件）,如果投标人确认参与本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投标，请将投标确认函中内容填写准确并盖好章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送到或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传至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江苏建霖项目管理有限公司（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邮箱13503626@qq.com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即报名成功。</w:t>
      </w:r>
    </w:p>
    <w:p w14:paraId="44AF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报名时间：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eastAsia="zh-CN"/>
        </w:rPr>
        <w:t>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</w:rPr>
        <w:t>日至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eastAsia="zh-CN"/>
        </w:rPr>
        <w:t>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  <w:lang w:val="en-US" w:eastAsia="zh-CN"/>
        </w:rPr>
        <w:t xml:space="preserve">28 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auto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（上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午9点到11点30分，下午2点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30分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到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点，节假日除外）</w:t>
      </w:r>
    </w:p>
    <w:p w14:paraId="3AC2A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报名地点：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金湖县园林南路288号市民中心三楼西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区308室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。</w:t>
      </w:r>
    </w:p>
    <w:p w14:paraId="4CDE3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2" w:firstLineChars="200"/>
        <w:textAlignment w:val="auto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五、投标文件接收截止时间</w:t>
      </w:r>
    </w:p>
    <w:p w14:paraId="4035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投标文件接收截止时间：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 xml:space="preserve"> 上午9:30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 xml:space="preserve"> ；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截止时间后，本委托代理机构将拒绝报价人的报价。</w:t>
      </w:r>
    </w:p>
    <w:p w14:paraId="2DE60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六、开标时间及地点</w:t>
      </w:r>
    </w:p>
    <w:p w14:paraId="76676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开标时间：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 xml:space="preserve"> 上午9:30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</w:t>
      </w:r>
    </w:p>
    <w:p w14:paraId="41F0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开标地点：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金湖县欧邑名郡1#楼201铺2楼会议室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。</w:t>
      </w:r>
    </w:p>
    <w:p w14:paraId="7EF1FF01">
      <w:pPr>
        <w:numPr>
          <w:ilvl w:val="0"/>
          <w:numId w:val="2"/>
        </w:numPr>
        <w:snapToGrid w:val="0"/>
        <w:spacing w:line="440" w:lineRule="exact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本次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联系事项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：</w:t>
      </w:r>
    </w:p>
    <w:p w14:paraId="1FC3B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val="en-US" w:eastAsia="zh-CN"/>
        </w:rPr>
        <w:t>1、采购单位联系人：</w:t>
      </w:r>
      <w:r>
        <w:rPr>
          <w:rFonts w:hint="eastAsia" w:ascii="宋体" w:hAnsi="宋体" w:cs="宋体"/>
          <w:sz w:val="22"/>
        </w:rPr>
        <w:t xml:space="preserve">邵传艳， 联系电话：0517-86882936；  </w:t>
      </w:r>
    </w:p>
    <w:p w14:paraId="43C1C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2、代理机构联系人：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伍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工， 联系电话：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15380630688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</w:t>
      </w:r>
    </w:p>
    <w:p w14:paraId="7D14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2" w:firstLineChars="200"/>
        <w:textAlignment w:val="auto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八、本次投标保证金</w:t>
      </w:r>
    </w:p>
    <w:p w14:paraId="6066E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本项目无需保证金</w:t>
      </w:r>
    </w:p>
    <w:p w14:paraId="6813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2" w:firstLineChars="200"/>
        <w:textAlignment w:val="auto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九、其他事项</w:t>
      </w:r>
    </w:p>
    <w:p w14:paraId="6ABB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(1)招标代理（下称代理人）：招标人委托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江苏建霖项目管理有限公司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负责代理本次招标的相关事宜。</w:t>
      </w:r>
    </w:p>
    <w:p w14:paraId="2D0C9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40" w:firstLineChars="200"/>
        <w:textAlignment w:val="auto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(2)招标代理费：中标人参照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苏政采协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[20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]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号文件规定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标准的75%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缴纳代理费，此费用须包含在投标报价中，但无须单独列项计取。</w:t>
      </w:r>
    </w:p>
    <w:p w14:paraId="4ACB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采购人：金湖县植保植检站</w:t>
      </w:r>
    </w:p>
    <w:p w14:paraId="49D8C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2026年5月25 日</w:t>
      </w:r>
    </w:p>
    <w:p w14:paraId="128117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</w:p>
    <w:bookmarkEnd w:id="0"/>
    <w:p w14:paraId="6B1306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附：</w:t>
      </w:r>
    </w:p>
    <w:p w14:paraId="48C690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61" w:firstLineChars="50"/>
        <w:jc w:val="center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投标人参与投标确认函</w:t>
      </w:r>
    </w:p>
    <w:p w14:paraId="3851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金湖县植保植检站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</w:rPr>
        <w:tab/>
      </w:r>
    </w:p>
    <w:p w14:paraId="3D1A2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我单位将参与          （项目名称）的询价，现特发函确认。</w:t>
      </w:r>
    </w:p>
    <w:p w14:paraId="654B4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供应商名称:</w:t>
      </w:r>
    </w:p>
    <w:p w14:paraId="5D1D9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</w:t>
      </w:r>
    </w:p>
    <w:p w14:paraId="0E38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</w:p>
    <w:p w14:paraId="056D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法定代表人(签字</w:t>
      </w:r>
      <w:r>
        <w:rPr>
          <w:rFonts w:hint="eastAsia" w:ascii="宋体" w:hAnsi="宋体"/>
          <w:sz w:val="24"/>
          <w:szCs w:val="24"/>
          <w:lang w:val="en-US" w:eastAsia="zh-CN"/>
        </w:rPr>
        <w:t>或签章</w:t>
      </w:r>
      <w:r>
        <w:rPr>
          <w:rFonts w:hint="eastAsia" w:ascii="宋体" w:hAnsi="宋体"/>
          <w:sz w:val="24"/>
          <w:szCs w:val="24"/>
        </w:rPr>
        <w:t>)：</w:t>
      </w:r>
    </w:p>
    <w:p w14:paraId="4BDE0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40" w:right="1040" w:hanging="4080" w:hangingChars="1700"/>
        <w:jc w:val="righ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（单位公章）                                 </w:t>
      </w:r>
    </w:p>
    <w:p w14:paraId="4ABA7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40" w:right="1040" w:hanging="4080" w:hangingChars="1700"/>
        <w:jc w:val="right"/>
        <w:textAlignment w:val="auto"/>
        <w:rPr>
          <w:rFonts w:hint="default" w:ascii="宋体" w:hAnsi="宋体" w:eastAsiaTheme="minorEastAsia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年　月　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605FD"/>
    <w:multiLevelType w:val="singleLevel"/>
    <w:tmpl w:val="AB6605F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2BFE95"/>
    <w:multiLevelType w:val="singleLevel"/>
    <w:tmpl w:val="3B2BFE9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M1MDUyYjEzYTgxNmMzMmMwZTg4ZWRiNDdjODlmZGMifQ=="/>
  </w:docVars>
  <w:rsids>
    <w:rsidRoot w:val="00DF1A81"/>
    <w:rsid w:val="00013BB4"/>
    <w:rsid w:val="0003682D"/>
    <w:rsid w:val="000C04C5"/>
    <w:rsid w:val="00104B1D"/>
    <w:rsid w:val="00120CCE"/>
    <w:rsid w:val="00130536"/>
    <w:rsid w:val="001456AC"/>
    <w:rsid w:val="001A7673"/>
    <w:rsid w:val="001F4F4B"/>
    <w:rsid w:val="00262A8E"/>
    <w:rsid w:val="00282F32"/>
    <w:rsid w:val="00303811"/>
    <w:rsid w:val="00306D26"/>
    <w:rsid w:val="0036653D"/>
    <w:rsid w:val="00377C17"/>
    <w:rsid w:val="00380D9A"/>
    <w:rsid w:val="003A153B"/>
    <w:rsid w:val="003B7D1B"/>
    <w:rsid w:val="003E1A76"/>
    <w:rsid w:val="003F38FA"/>
    <w:rsid w:val="004B15D3"/>
    <w:rsid w:val="004C4167"/>
    <w:rsid w:val="004E0AC9"/>
    <w:rsid w:val="00515AA6"/>
    <w:rsid w:val="00546724"/>
    <w:rsid w:val="00553D71"/>
    <w:rsid w:val="00576BDD"/>
    <w:rsid w:val="005924EB"/>
    <w:rsid w:val="005C3582"/>
    <w:rsid w:val="006654DF"/>
    <w:rsid w:val="006A2509"/>
    <w:rsid w:val="006A3AB2"/>
    <w:rsid w:val="006C4455"/>
    <w:rsid w:val="007163CE"/>
    <w:rsid w:val="007D4791"/>
    <w:rsid w:val="007E3FC2"/>
    <w:rsid w:val="007F470B"/>
    <w:rsid w:val="00831D92"/>
    <w:rsid w:val="008479DC"/>
    <w:rsid w:val="008D1EC9"/>
    <w:rsid w:val="00931347"/>
    <w:rsid w:val="009359E4"/>
    <w:rsid w:val="00A00D42"/>
    <w:rsid w:val="00A1038E"/>
    <w:rsid w:val="00A34CC7"/>
    <w:rsid w:val="00A62942"/>
    <w:rsid w:val="00A95379"/>
    <w:rsid w:val="00AA1E4E"/>
    <w:rsid w:val="00AE421A"/>
    <w:rsid w:val="00B00F30"/>
    <w:rsid w:val="00B035F9"/>
    <w:rsid w:val="00B174BD"/>
    <w:rsid w:val="00B34552"/>
    <w:rsid w:val="00B43E10"/>
    <w:rsid w:val="00B5591C"/>
    <w:rsid w:val="00B60A8C"/>
    <w:rsid w:val="00CB6052"/>
    <w:rsid w:val="00CC7F5A"/>
    <w:rsid w:val="00DF1A81"/>
    <w:rsid w:val="00E60C96"/>
    <w:rsid w:val="00E82064"/>
    <w:rsid w:val="00EB0F75"/>
    <w:rsid w:val="00F03D5D"/>
    <w:rsid w:val="00F36AC2"/>
    <w:rsid w:val="00F6481D"/>
    <w:rsid w:val="00F91609"/>
    <w:rsid w:val="00FC0154"/>
    <w:rsid w:val="00FD7DC6"/>
    <w:rsid w:val="019D03B5"/>
    <w:rsid w:val="01CA5DA6"/>
    <w:rsid w:val="01FB2E3E"/>
    <w:rsid w:val="02E04350"/>
    <w:rsid w:val="02FA205E"/>
    <w:rsid w:val="030D5E24"/>
    <w:rsid w:val="033F73FA"/>
    <w:rsid w:val="03DF4F77"/>
    <w:rsid w:val="044F0706"/>
    <w:rsid w:val="050B4F4E"/>
    <w:rsid w:val="058D1D87"/>
    <w:rsid w:val="05EF4243"/>
    <w:rsid w:val="065D685C"/>
    <w:rsid w:val="06A211B7"/>
    <w:rsid w:val="07162820"/>
    <w:rsid w:val="07175D70"/>
    <w:rsid w:val="07486B13"/>
    <w:rsid w:val="07783087"/>
    <w:rsid w:val="092B3179"/>
    <w:rsid w:val="09503820"/>
    <w:rsid w:val="09A338BD"/>
    <w:rsid w:val="09BE4364"/>
    <w:rsid w:val="09D97511"/>
    <w:rsid w:val="09E33BD8"/>
    <w:rsid w:val="0A713382"/>
    <w:rsid w:val="0AD32EDA"/>
    <w:rsid w:val="0BB63A28"/>
    <w:rsid w:val="0C447051"/>
    <w:rsid w:val="0D3E6943"/>
    <w:rsid w:val="0E01099B"/>
    <w:rsid w:val="0E4D3BA1"/>
    <w:rsid w:val="0F7876E1"/>
    <w:rsid w:val="0FC14E56"/>
    <w:rsid w:val="10BC43E4"/>
    <w:rsid w:val="110A01BB"/>
    <w:rsid w:val="11171C0C"/>
    <w:rsid w:val="11925C0B"/>
    <w:rsid w:val="120B7EC1"/>
    <w:rsid w:val="12A447E5"/>
    <w:rsid w:val="12F91349"/>
    <w:rsid w:val="136939B9"/>
    <w:rsid w:val="13EF280D"/>
    <w:rsid w:val="13FA603C"/>
    <w:rsid w:val="14AD0666"/>
    <w:rsid w:val="14FB05FB"/>
    <w:rsid w:val="156306F1"/>
    <w:rsid w:val="15865906"/>
    <w:rsid w:val="15E96C0C"/>
    <w:rsid w:val="161C484C"/>
    <w:rsid w:val="16FE7AB7"/>
    <w:rsid w:val="17015DB6"/>
    <w:rsid w:val="174F56E2"/>
    <w:rsid w:val="177D7D6E"/>
    <w:rsid w:val="185D5A12"/>
    <w:rsid w:val="18663F7E"/>
    <w:rsid w:val="188D7D23"/>
    <w:rsid w:val="18904075"/>
    <w:rsid w:val="18EB5A01"/>
    <w:rsid w:val="19604E6F"/>
    <w:rsid w:val="19BC1AE4"/>
    <w:rsid w:val="19CE096C"/>
    <w:rsid w:val="1A0A0F03"/>
    <w:rsid w:val="1AB7243B"/>
    <w:rsid w:val="1B1C3C59"/>
    <w:rsid w:val="1B3A6AA3"/>
    <w:rsid w:val="1BD8149F"/>
    <w:rsid w:val="1C13053F"/>
    <w:rsid w:val="1C7C43BA"/>
    <w:rsid w:val="1CA02DB8"/>
    <w:rsid w:val="1CFA3671"/>
    <w:rsid w:val="1D563060"/>
    <w:rsid w:val="1DDF15A6"/>
    <w:rsid w:val="1E1D1ECF"/>
    <w:rsid w:val="1E5B1E71"/>
    <w:rsid w:val="1EED3DD5"/>
    <w:rsid w:val="1F0B3F91"/>
    <w:rsid w:val="1F916F47"/>
    <w:rsid w:val="1FC52370"/>
    <w:rsid w:val="205C7EB9"/>
    <w:rsid w:val="21041386"/>
    <w:rsid w:val="215864A5"/>
    <w:rsid w:val="22175B35"/>
    <w:rsid w:val="22C421DC"/>
    <w:rsid w:val="23340ECE"/>
    <w:rsid w:val="23562B8D"/>
    <w:rsid w:val="235D68D0"/>
    <w:rsid w:val="23987CFB"/>
    <w:rsid w:val="2433190B"/>
    <w:rsid w:val="24E078BA"/>
    <w:rsid w:val="24F309DC"/>
    <w:rsid w:val="24FF0425"/>
    <w:rsid w:val="25311998"/>
    <w:rsid w:val="25896E30"/>
    <w:rsid w:val="25B96BFF"/>
    <w:rsid w:val="25EE72A9"/>
    <w:rsid w:val="263A561C"/>
    <w:rsid w:val="26484E0E"/>
    <w:rsid w:val="265E2496"/>
    <w:rsid w:val="2667620F"/>
    <w:rsid w:val="26A46AF5"/>
    <w:rsid w:val="27B64A44"/>
    <w:rsid w:val="27C308C6"/>
    <w:rsid w:val="27C95A4F"/>
    <w:rsid w:val="2921216B"/>
    <w:rsid w:val="29CB2E26"/>
    <w:rsid w:val="29DF7CB3"/>
    <w:rsid w:val="2A275C11"/>
    <w:rsid w:val="2A510EE3"/>
    <w:rsid w:val="2A554058"/>
    <w:rsid w:val="2A902F83"/>
    <w:rsid w:val="2ACC5152"/>
    <w:rsid w:val="2B2A12C1"/>
    <w:rsid w:val="2B4B04B4"/>
    <w:rsid w:val="2B850065"/>
    <w:rsid w:val="2BC35615"/>
    <w:rsid w:val="2C334BDE"/>
    <w:rsid w:val="2D344BD6"/>
    <w:rsid w:val="2ED70CD7"/>
    <w:rsid w:val="2EED41F7"/>
    <w:rsid w:val="2FAD169A"/>
    <w:rsid w:val="30C46852"/>
    <w:rsid w:val="31786F7B"/>
    <w:rsid w:val="318779D8"/>
    <w:rsid w:val="31FE2ED0"/>
    <w:rsid w:val="324065F9"/>
    <w:rsid w:val="324546C1"/>
    <w:rsid w:val="32914064"/>
    <w:rsid w:val="32CA102C"/>
    <w:rsid w:val="336F5A6A"/>
    <w:rsid w:val="339B0DFE"/>
    <w:rsid w:val="33BF7153"/>
    <w:rsid w:val="345B058E"/>
    <w:rsid w:val="34904523"/>
    <w:rsid w:val="35227F73"/>
    <w:rsid w:val="35541FDD"/>
    <w:rsid w:val="363B3A58"/>
    <w:rsid w:val="36A5774C"/>
    <w:rsid w:val="37265BCD"/>
    <w:rsid w:val="37B335FD"/>
    <w:rsid w:val="37B4291C"/>
    <w:rsid w:val="37D717AB"/>
    <w:rsid w:val="389A33CF"/>
    <w:rsid w:val="3955589E"/>
    <w:rsid w:val="39622E17"/>
    <w:rsid w:val="3A0910A0"/>
    <w:rsid w:val="3A512347"/>
    <w:rsid w:val="3ABC17C9"/>
    <w:rsid w:val="3AC7634C"/>
    <w:rsid w:val="3ACC64E1"/>
    <w:rsid w:val="3AD46C94"/>
    <w:rsid w:val="3AE253D8"/>
    <w:rsid w:val="3AF318F0"/>
    <w:rsid w:val="3B38349E"/>
    <w:rsid w:val="3B551C2D"/>
    <w:rsid w:val="3B6926A7"/>
    <w:rsid w:val="3BDD62A1"/>
    <w:rsid w:val="3C922715"/>
    <w:rsid w:val="3D6F24C7"/>
    <w:rsid w:val="3E052C41"/>
    <w:rsid w:val="3E117C69"/>
    <w:rsid w:val="3E2E4520"/>
    <w:rsid w:val="3ECB124E"/>
    <w:rsid w:val="3ECF0FD6"/>
    <w:rsid w:val="3EE16A70"/>
    <w:rsid w:val="406B053B"/>
    <w:rsid w:val="40951BF5"/>
    <w:rsid w:val="40DD50ED"/>
    <w:rsid w:val="413F079B"/>
    <w:rsid w:val="41435E7E"/>
    <w:rsid w:val="427E4723"/>
    <w:rsid w:val="42C811CF"/>
    <w:rsid w:val="43FA296C"/>
    <w:rsid w:val="443F47DF"/>
    <w:rsid w:val="44EE3761"/>
    <w:rsid w:val="46767CB4"/>
    <w:rsid w:val="46B1257F"/>
    <w:rsid w:val="47D757A3"/>
    <w:rsid w:val="48C13286"/>
    <w:rsid w:val="48E14A06"/>
    <w:rsid w:val="492035E8"/>
    <w:rsid w:val="49D42D14"/>
    <w:rsid w:val="4A2548D8"/>
    <w:rsid w:val="4C563CC9"/>
    <w:rsid w:val="4C795F65"/>
    <w:rsid w:val="4D1274CF"/>
    <w:rsid w:val="4E32102F"/>
    <w:rsid w:val="4EDD60DD"/>
    <w:rsid w:val="4F213C88"/>
    <w:rsid w:val="4F271B8F"/>
    <w:rsid w:val="4F442ACD"/>
    <w:rsid w:val="50EC453A"/>
    <w:rsid w:val="515F14FF"/>
    <w:rsid w:val="51BB1D22"/>
    <w:rsid w:val="523E2613"/>
    <w:rsid w:val="524802FA"/>
    <w:rsid w:val="52551A05"/>
    <w:rsid w:val="52D75D01"/>
    <w:rsid w:val="52DE2F24"/>
    <w:rsid w:val="531E03F9"/>
    <w:rsid w:val="534A0304"/>
    <w:rsid w:val="54050DE3"/>
    <w:rsid w:val="54B94A05"/>
    <w:rsid w:val="5508029C"/>
    <w:rsid w:val="558D6548"/>
    <w:rsid w:val="55B33C1E"/>
    <w:rsid w:val="55C20DD1"/>
    <w:rsid w:val="56597614"/>
    <w:rsid w:val="56AB6972"/>
    <w:rsid w:val="56AD697C"/>
    <w:rsid w:val="56C34335"/>
    <w:rsid w:val="56FE6F49"/>
    <w:rsid w:val="589D7528"/>
    <w:rsid w:val="5BDB0913"/>
    <w:rsid w:val="5C295B52"/>
    <w:rsid w:val="5D041CFD"/>
    <w:rsid w:val="5D376347"/>
    <w:rsid w:val="5DC86E75"/>
    <w:rsid w:val="5E3835C9"/>
    <w:rsid w:val="5E4E6BDA"/>
    <w:rsid w:val="5ED96834"/>
    <w:rsid w:val="5F1A3430"/>
    <w:rsid w:val="5F217A63"/>
    <w:rsid w:val="5F240953"/>
    <w:rsid w:val="5F280842"/>
    <w:rsid w:val="5FD1143F"/>
    <w:rsid w:val="60310561"/>
    <w:rsid w:val="60610D2C"/>
    <w:rsid w:val="607B512A"/>
    <w:rsid w:val="60C96C19"/>
    <w:rsid w:val="61085096"/>
    <w:rsid w:val="613370DD"/>
    <w:rsid w:val="613F2D03"/>
    <w:rsid w:val="61C60488"/>
    <w:rsid w:val="61F31633"/>
    <w:rsid w:val="62595BA4"/>
    <w:rsid w:val="62C844AB"/>
    <w:rsid w:val="62E96C9A"/>
    <w:rsid w:val="63220514"/>
    <w:rsid w:val="63AE6545"/>
    <w:rsid w:val="649554E6"/>
    <w:rsid w:val="653528A1"/>
    <w:rsid w:val="659665DF"/>
    <w:rsid w:val="66B35FA3"/>
    <w:rsid w:val="66F25F4C"/>
    <w:rsid w:val="67E86ECD"/>
    <w:rsid w:val="686B3E28"/>
    <w:rsid w:val="688C2BC9"/>
    <w:rsid w:val="68C53F3C"/>
    <w:rsid w:val="68CF43EA"/>
    <w:rsid w:val="68D224A5"/>
    <w:rsid w:val="69095B38"/>
    <w:rsid w:val="69485A4B"/>
    <w:rsid w:val="694A09D7"/>
    <w:rsid w:val="696D1EA1"/>
    <w:rsid w:val="69F70730"/>
    <w:rsid w:val="6A9F1BF7"/>
    <w:rsid w:val="6AFF71B1"/>
    <w:rsid w:val="6B966718"/>
    <w:rsid w:val="6B974BED"/>
    <w:rsid w:val="6B9C3DDC"/>
    <w:rsid w:val="6BF70819"/>
    <w:rsid w:val="6BFF502F"/>
    <w:rsid w:val="6D592EA5"/>
    <w:rsid w:val="6D675981"/>
    <w:rsid w:val="6E530749"/>
    <w:rsid w:val="6E5F0B56"/>
    <w:rsid w:val="6F650E9C"/>
    <w:rsid w:val="712978EE"/>
    <w:rsid w:val="71DC745A"/>
    <w:rsid w:val="72ED143C"/>
    <w:rsid w:val="73562647"/>
    <w:rsid w:val="735A1725"/>
    <w:rsid w:val="73F97190"/>
    <w:rsid w:val="746D1D1B"/>
    <w:rsid w:val="74B668FF"/>
    <w:rsid w:val="74F23CC9"/>
    <w:rsid w:val="75243F6D"/>
    <w:rsid w:val="75A64FE2"/>
    <w:rsid w:val="75B83C9D"/>
    <w:rsid w:val="760140DA"/>
    <w:rsid w:val="760350CD"/>
    <w:rsid w:val="762B610E"/>
    <w:rsid w:val="779D4CAC"/>
    <w:rsid w:val="77E20F00"/>
    <w:rsid w:val="78532959"/>
    <w:rsid w:val="78E54529"/>
    <w:rsid w:val="791D56CF"/>
    <w:rsid w:val="7961726B"/>
    <w:rsid w:val="7A087184"/>
    <w:rsid w:val="7A903672"/>
    <w:rsid w:val="7C31254B"/>
    <w:rsid w:val="7CF06616"/>
    <w:rsid w:val="7D0776EF"/>
    <w:rsid w:val="7D4F6F10"/>
    <w:rsid w:val="7E10674C"/>
    <w:rsid w:val="7E26671B"/>
    <w:rsid w:val="7F765420"/>
    <w:rsid w:val="7FC166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widowControl/>
      <w:ind w:left="100" w:leftChars="2500"/>
      <w:jc w:val="left"/>
    </w:pPr>
    <w:rPr>
      <w:rFonts w:ascii="Times New Roman" w:hAnsi="Times New Roman" w:eastAsia="宋体" w:cs="Lucida Sans"/>
      <w:kern w:val="0"/>
      <w:sz w:val="20"/>
      <w:szCs w:val="20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="Times New Roman" w:hAnsi="Times New Roman" w:eastAsia="宋体" w:cs="Lucida Sans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1324</Words>
  <Characters>1464</Characters>
  <Lines>10</Lines>
  <Paragraphs>2</Paragraphs>
  <TotalTime>0</TotalTime>
  <ScaleCrop>false</ScaleCrop>
  <LinksUpToDate>false</LinksUpToDate>
  <CharactersWithSpaces>1520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2019-07-11T03:26:00Z</dcterms:created>
  <dc:creator>xw</dc:creator>
  <cp:lastModifiedBy>Lenovo</cp:lastModifiedBy>
  <cp:lastPrinted>2024-03-05T01:19:00Z</cp:lastPrinted>
  <dcterms:modified xsi:type="dcterms:W3CDTF">2026-05-25T00:53:26Z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CDAD08CE917343B5980D519796731AFF</vt:lpwstr>
  </property>
  <property fmtid="{D5CDD505-2E9C-101B-9397-08002B2CF9AE}" pid="4" name="KSOTemplateDocerSaveRecord">
    <vt:lpwstr>eyJoZGlkIjoiZmIzMDI4MDk5YTExODgxNmYwNDEwOGFjYTE5MGY3NTYiLCJ1c2VySWQiOiI3MjA4Nzc3OTkifQ==</vt:lpwstr>
  </property>
</Properties>
</file>