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81111E">
      <w:pPr>
        <w:pStyle w:val="14"/>
        <w:spacing w:line="620" w:lineRule="exact"/>
        <w:rPr>
          <w:rFonts w:ascii="Times New Roman" w:hAnsi="Times New Roman" w:eastAsia="方正小标宋_GBK"/>
          <w:color w:val="auto"/>
          <w:sz w:val="44"/>
          <w:szCs w:val="44"/>
        </w:rPr>
      </w:pPr>
      <w:bookmarkStart w:id="0" w:name="_Toc212060483"/>
      <w:bookmarkStart w:id="1" w:name="_Toc213057384"/>
      <w:bookmarkStart w:id="2" w:name="_Hlk213664698"/>
    </w:p>
    <w:p w14:paraId="107A7794">
      <w:pPr>
        <w:spacing w:line="620" w:lineRule="exact"/>
        <w:rPr>
          <w:rFonts w:ascii="Times New Roman" w:hAnsi="Times New Roman" w:eastAsia="方正小标宋_GBK"/>
          <w:sz w:val="44"/>
          <w:szCs w:val="44"/>
        </w:rPr>
      </w:pPr>
    </w:p>
    <w:p w14:paraId="454A2DC6">
      <w:pPr>
        <w:pStyle w:val="14"/>
        <w:spacing w:line="620" w:lineRule="exact"/>
        <w:rPr>
          <w:rFonts w:ascii="Times New Roman" w:hAnsi="Times New Roman" w:eastAsia="方正小标宋_GBK"/>
          <w:color w:val="auto"/>
          <w:sz w:val="21"/>
          <w:szCs w:val="21"/>
        </w:rPr>
      </w:pPr>
    </w:p>
    <w:p w14:paraId="49CAE9EF">
      <w:pPr>
        <w:pStyle w:val="14"/>
        <w:spacing w:line="620" w:lineRule="exact"/>
        <w:rPr>
          <w:rFonts w:ascii="Times New Roman" w:hAnsi="Times New Roman" w:eastAsia="方正小标宋_GBK"/>
          <w:color w:val="auto"/>
          <w:sz w:val="21"/>
          <w:szCs w:val="21"/>
        </w:rPr>
      </w:pPr>
    </w:p>
    <w:p w14:paraId="087D49F9">
      <w:pPr>
        <w:pStyle w:val="14"/>
        <w:spacing w:line="620" w:lineRule="exact"/>
        <w:rPr>
          <w:rFonts w:ascii="Times New Roman" w:hAnsi="Times New Roman" w:eastAsia="方正小标宋_GBK"/>
          <w:color w:val="auto"/>
          <w:sz w:val="21"/>
          <w:szCs w:val="21"/>
        </w:rPr>
      </w:pPr>
    </w:p>
    <w:p w14:paraId="498B8842">
      <w:pPr>
        <w:spacing w:line="560" w:lineRule="exact"/>
        <w:jc w:val="center"/>
        <w:rPr>
          <w:rFonts w:ascii="Times New Roman" w:hAnsi="Times New Roman" w:eastAsia="方正仿宋_GBK"/>
          <w:sz w:val="32"/>
          <w:szCs w:val="32"/>
        </w:rPr>
      </w:pPr>
      <w:r>
        <w:rPr>
          <w:rFonts w:ascii="Times New Roman" w:hAnsi="Times New Roman" w:eastAsia="方正仿宋_GBK" w:cs="Times New Roman"/>
          <w:sz w:val="32"/>
          <w:szCs w:val="32"/>
        </w:rPr>
        <w:t>金政发〔2026〕29号</w:t>
      </w:r>
    </w:p>
    <w:p w14:paraId="08F72BAA">
      <w:pPr>
        <w:pStyle w:val="14"/>
        <w:spacing w:line="560" w:lineRule="exact"/>
        <w:rPr>
          <w:rFonts w:ascii="Times New Roman" w:hAnsi="Times New Roman" w:eastAsia="方正仿宋_GBK"/>
          <w:color w:val="auto"/>
          <w:sz w:val="32"/>
          <w:szCs w:val="32"/>
        </w:rPr>
      </w:pPr>
    </w:p>
    <w:p w14:paraId="0D52CA83">
      <w:pPr>
        <w:pStyle w:val="14"/>
        <w:spacing w:line="560" w:lineRule="exact"/>
        <w:rPr>
          <w:rFonts w:ascii="Times New Roman" w:hAnsi="Times New Roman" w:eastAsia="方正仿宋_GBK"/>
          <w:color w:val="auto"/>
          <w:sz w:val="32"/>
          <w:szCs w:val="32"/>
        </w:rPr>
      </w:pPr>
    </w:p>
    <w:p w14:paraId="3C2FCE72">
      <w:pPr>
        <w:widowControl/>
        <w:spacing w:line="640" w:lineRule="exac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关于印发</w:t>
      </w:r>
      <w:bookmarkStart w:id="3" w:name="_Hlk225953143"/>
      <w:r>
        <w:rPr>
          <w:rFonts w:hint="eastAsia" w:ascii="方正小标宋简体" w:hAnsi="方正小标宋简体" w:eastAsia="方正小标宋简体"/>
          <w:sz w:val="44"/>
          <w:szCs w:val="44"/>
        </w:rPr>
        <w:t>金湖县国民经济和社会发展</w:t>
      </w:r>
    </w:p>
    <w:p w14:paraId="110FB080">
      <w:pPr>
        <w:widowControl/>
        <w:spacing w:line="640" w:lineRule="exac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第十五个五年规划纲要</w:t>
      </w:r>
      <w:bookmarkEnd w:id="3"/>
      <w:r>
        <w:rPr>
          <w:rFonts w:hint="eastAsia" w:ascii="方正小标宋简体" w:hAnsi="方正小标宋简体" w:eastAsia="方正小标宋简体"/>
          <w:sz w:val="44"/>
          <w:szCs w:val="44"/>
        </w:rPr>
        <w:t>的通知</w:t>
      </w:r>
    </w:p>
    <w:p w14:paraId="21F2E41C">
      <w:pPr>
        <w:widowControl/>
        <w:spacing w:line="560" w:lineRule="exact"/>
        <w:jc w:val="center"/>
        <w:rPr>
          <w:rFonts w:ascii="方正仿宋_GBK" w:hAnsi="方正仿宋_GBK" w:eastAsia="方正仿宋_GBK" w:cs="Times New Roman"/>
          <w:sz w:val="32"/>
          <w:szCs w:val="32"/>
        </w:rPr>
      </w:pPr>
    </w:p>
    <w:p w14:paraId="7E25D631">
      <w:pPr>
        <w:widowControl/>
        <w:spacing w:line="56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各镇人民政府、各街道办事处，县各委办局，县各直属单位</w:t>
      </w:r>
      <w:r>
        <w:rPr>
          <w:rFonts w:ascii="Times New Roman" w:hAnsi="Times New Roman" w:eastAsia="方正仿宋_GBK" w:cs="Times New Roman"/>
          <w:sz w:val="32"/>
          <w:szCs w:val="32"/>
        </w:rPr>
        <w:t>：</w:t>
      </w:r>
    </w:p>
    <w:p w14:paraId="0C9715B5">
      <w:pPr>
        <w:widowControl/>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《金湖县国民经济和社会发展第十五个五年规划纲要》已经县十五届人大六次会议审议通过，现印发给你们，请结合实际认真贯彻执行。</w:t>
      </w:r>
    </w:p>
    <w:p w14:paraId="1B2876A1">
      <w:pPr>
        <w:widowControl/>
        <w:wordWrap w:val="0"/>
        <w:spacing w:line="560" w:lineRule="exact"/>
        <w:ind w:firstLine="640" w:firstLineChars="200"/>
        <w:jc w:val="right"/>
        <w:rPr>
          <w:rFonts w:ascii="Times New Roman" w:hAnsi="Times New Roman" w:eastAsia="方正仿宋_GBK" w:cs="Times New Roman"/>
          <w:sz w:val="32"/>
          <w:szCs w:val="32"/>
        </w:rPr>
      </w:pPr>
    </w:p>
    <w:p w14:paraId="7A5BC8F7">
      <w:pPr>
        <w:widowControl/>
        <w:spacing w:line="560" w:lineRule="exact"/>
        <w:ind w:firstLine="640" w:firstLineChars="200"/>
        <w:jc w:val="right"/>
        <w:rPr>
          <w:rFonts w:ascii="Times New Roman" w:hAnsi="Times New Roman" w:eastAsia="方正仿宋_GBK" w:cs="Times New Roman"/>
          <w:sz w:val="32"/>
          <w:szCs w:val="32"/>
        </w:rPr>
      </w:pPr>
    </w:p>
    <w:p w14:paraId="2E399AB3">
      <w:pPr>
        <w:widowControl/>
        <w:wordWrap w:val="0"/>
        <w:spacing w:line="560" w:lineRule="exact"/>
        <w:ind w:firstLine="640" w:firstLineChars="200"/>
        <w:jc w:val="cente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金湖县人民政府</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 xml:space="preserve">  </w:t>
      </w:r>
    </w:p>
    <w:p w14:paraId="72F09F50">
      <w:pPr>
        <w:widowControl/>
        <w:spacing w:line="560" w:lineRule="exact"/>
        <w:ind w:right="960" w:firstLine="640" w:firstLineChars="200"/>
        <w:jc w:val="center"/>
        <w:rPr>
          <w:rFonts w:ascii="方正小标宋简体" w:hAnsi="方正小标宋简体" w:eastAsia="方正小标宋简体"/>
          <w:sz w:val="44"/>
          <w:szCs w:val="44"/>
        </w:rPr>
      </w:pP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2026年4</w:t>
      </w:r>
      <w:r>
        <w:rPr>
          <w:rFonts w:hint="eastAsia" w:ascii="Times New Roman" w:hAnsi="Times New Roman" w:eastAsia="方正仿宋_GBK" w:cs="Times New Roman"/>
          <w:sz w:val="32"/>
          <w:szCs w:val="32"/>
        </w:rPr>
        <w:t>月</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日</w:t>
      </w:r>
    </w:p>
    <w:p w14:paraId="141CBB8C">
      <w:pPr>
        <w:widowControl/>
        <w:spacing w:line="560" w:lineRule="exact"/>
        <w:jc w:val="center"/>
        <w:rPr>
          <w:rFonts w:ascii="方正小标宋简体" w:hAnsi="方正小标宋简体" w:eastAsia="方正小标宋简体"/>
          <w:sz w:val="44"/>
          <w:szCs w:val="44"/>
        </w:rPr>
      </w:pPr>
    </w:p>
    <w:p w14:paraId="16A115A4">
      <w:pPr>
        <w:widowControl/>
        <w:spacing w:line="560" w:lineRule="exact"/>
        <w:ind w:firstLine="640" w:firstLineChars="200"/>
        <w:rPr>
          <w:rFonts w:hint="eastAsia" w:ascii="Times New Roman" w:hAnsi="Times New Roman" w:eastAsia="方正仿宋_GBK" w:cs="Times New Roman"/>
          <w:sz w:val="32"/>
          <w:szCs w:val="32"/>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2041" w:left="1474" w:header="851" w:footer="992" w:gutter="0"/>
          <w:cols w:space="425" w:num="1"/>
          <w:docGrid w:type="lines" w:linePitch="312" w:charSpace="0"/>
        </w:sect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此件公开发布</w:t>
      </w:r>
      <w:r>
        <w:rPr>
          <w:rFonts w:hint="eastAsia" w:ascii="Times New Roman" w:hAnsi="Times New Roman" w:eastAsia="方正仿宋_GBK" w:cs="Times New Roman"/>
          <w:sz w:val="32"/>
          <w:szCs w:val="32"/>
          <w:lang w:eastAsia="zh-CN"/>
        </w:rPr>
        <w:t>）</w:t>
      </w:r>
      <w:bookmarkStart w:id="220" w:name="_GoBack"/>
      <w:bookmarkEnd w:id="220"/>
    </w:p>
    <w:p w14:paraId="2D53AA86">
      <w:pPr>
        <w:rPr>
          <w:szCs w:val="21"/>
        </w:rPr>
      </w:pPr>
    </w:p>
    <w:p w14:paraId="7DC1A726"/>
    <w:p w14:paraId="09366028"/>
    <w:p w14:paraId="0613A20C"/>
    <w:p w14:paraId="3A3C4CB9"/>
    <w:p w14:paraId="36582F0C"/>
    <w:p w14:paraId="7011B107"/>
    <w:p w14:paraId="71C1594B"/>
    <w:p w14:paraId="218B86E9"/>
    <w:p w14:paraId="00C36B72"/>
    <w:p w14:paraId="63FD9CE0"/>
    <w:p w14:paraId="13781A84"/>
    <w:p w14:paraId="019DF06E"/>
    <w:p w14:paraId="231D6176"/>
    <w:p w14:paraId="3930B9DF"/>
    <w:p w14:paraId="1D57625D"/>
    <w:p w14:paraId="3C654A60"/>
    <w:p w14:paraId="14E30E62"/>
    <w:p w14:paraId="65AB8058"/>
    <w:p w14:paraId="7F679964"/>
    <w:p w14:paraId="447480F9"/>
    <w:p w14:paraId="44849CCF"/>
    <w:p w14:paraId="2E808E90"/>
    <w:p w14:paraId="14E9EA3B"/>
    <w:p w14:paraId="6CCB8A96"/>
    <w:p w14:paraId="57907C53"/>
    <w:p w14:paraId="5CFE6247"/>
    <w:p w14:paraId="260D2DBD"/>
    <w:p w14:paraId="62A06D5F"/>
    <w:p w14:paraId="3F90BAD1"/>
    <w:p w14:paraId="2E5BAD95"/>
    <w:p w14:paraId="0E1EF5D0"/>
    <w:p w14:paraId="54C8E761"/>
    <w:p w14:paraId="3A6164A2"/>
    <w:p w14:paraId="455E6003"/>
    <w:p w14:paraId="50961FAA"/>
    <w:p w14:paraId="2A49AF06"/>
    <w:p w14:paraId="67CC5317">
      <w:pPr>
        <w:spacing w:line="620" w:lineRule="exact"/>
        <w:ind w:firstLine="280" w:firstLineChars="100"/>
      </w:pPr>
      <w:r>
        <w:rPr>
          <w:rFonts w:ascii="Times New Roman" w:hAnsi="Times New Roman" w:eastAsia="方正仿宋_GBK"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66675</wp:posOffset>
                </wp:positionV>
                <wp:extent cx="5544185"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54418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5.25pt;height:0.05pt;width:436.55pt;z-index:251661312;mso-width-relative:page;mso-height-relative:page;" filled="f" stroked="t" coordsize="21600,21600" o:gfxdata="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xYyrPVAAAABgEAAA8AAAAAAAAAAQAgAAAAIgAAAGRycy9kb3ducmV2LnhtbFBLAQIUABQAAAAI&#10;AIdO4kBs8uz18AEAANsDAAAOAAAAAAAAAAEAIAAAACQBAABkcnMvZTJvRG9jLnhtbFBLBQYAAAAA&#10;BgAGAFkBAACGBQAAAAA=&#10;">
                <v:fill on="f" focussize="0,0"/>
                <v:stroke weight="1.25pt" color="#000000" joinstyle="round"/>
                <v:imagedata o:title=""/>
                <o:lock v:ext="edit" aspectratio="f"/>
              </v:line>
            </w:pict>
          </mc:Fallback>
        </mc:AlternateContent>
      </w:r>
      <w:r>
        <w:rPr>
          <w:rFonts w:hint="eastAsia" w:ascii="Times New Roman" w:hAnsi="Times New Roman" w:eastAsia="仿宋_GB2312" w:cs="Times New Roman"/>
          <w:sz w:val="28"/>
          <w:szCs w:val="28"/>
        </w:rPr>
        <w:t>抄送：县委各部委办，县人大办，县政协办，县法院，县检察院。</w:t>
      </w:r>
    </w:p>
    <w:p w14:paraId="249C985C">
      <w:pPr>
        <w:ind w:firstLine="280" w:firstLineChars="100"/>
        <w:rPr>
          <w:rFonts w:ascii="Times New Roman" w:hAnsi="Times New Roman" w:eastAsia="仿宋_GB2312" w:cs="Times New Roman"/>
          <w:sz w:val="28"/>
          <w:szCs w:val="28"/>
        </w:rPr>
      </w:pPr>
      <w:r>
        <w:rPr>
          <w:rFonts w:ascii="Times New Roman" w:hAnsi="Times New Roman" w:eastAsia="方正仿宋_GBK" w:cs="Times New Roman"/>
          <w:sz w:val="28"/>
          <w:szCs w:val="2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370840</wp:posOffset>
                </wp:positionV>
                <wp:extent cx="554418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554418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9.2pt;height:0.05pt;width:436.55pt;z-index:251659264;mso-width-relative:page;mso-height-relative:page;" filled="f" stroked="t" coordsize="21600,21600" o:gfxdata="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iNiN1gAAAAYBAAAPAAAAAAAAAAEAIAAAACIAAABkcnMvZG93bnJldi54bWxQSwECFAAUAAAACACH&#10;TuJAAVrzRu0BAADbAwAADgAAAAAAAAABACAAAAAlAQAAZHJzL2Uyb0RvYy54bWxQSwUGAAAAAAYA&#10;BgBZAQAAhAUAAAAA&#10;">
                <v:fill on="f" focussize="0,0"/>
                <v:stroke weight="1.25pt" color="#000000" joinstyle="round"/>
                <v:imagedata o:title=""/>
                <o:lock v:ext="edit" aspectratio="f"/>
              </v:line>
            </w:pict>
          </mc:Fallback>
        </mc:AlternateContent>
      </w:r>
      <w:r>
        <w:rPr>
          <w:rFonts w:ascii="Times New Roman" w:hAnsi="Times New Roman" w:eastAsia="方正仿宋_GBK"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34290</wp:posOffset>
                </wp:positionV>
                <wp:extent cx="5544185"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554418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7pt;height:0.05pt;width:436.55pt;z-index:251660288;mso-width-relative:page;mso-height-relative:page;" filled="f" stroked="t" coordsize="21600,21600" o:gfxdata="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qX&#10;77nVAAAABAEAAA8AAAAAAAAAAQAgAAAAIgAAAGRycy9kb3ducmV2LnhtbFBLAQIUABQAAAAIAIdO&#10;4kDO1Pd77QEAANsDAAAOAAAAAAAAAAEAIAAAACQBAABkcnMvZTJvRG9jLnhtbFBLBQYAAAAABgAG&#10;AFkBAACDBQAAAAA=&#10;">
                <v:fill on="f" focussize="0,0"/>
                <v:stroke weight="1.25pt" color="#000000" joinstyle="round"/>
                <v:imagedata o:title=""/>
                <o:lock v:ext="edit" aspectratio="f"/>
              </v:line>
            </w:pict>
          </mc:Fallback>
        </mc:AlternateContent>
      </w:r>
      <w:r>
        <w:rPr>
          <w:rFonts w:ascii="Times New Roman" w:hAnsi="Times New Roman" w:eastAsia="仿宋_GB2312" w:cs="Times New Roman"/>
          <w:sz w:val="28"/>
          <w:szCs w:val="28"/>
        </w:rPr>
        <w:t xml:space="preserve">金湖县人民政府办公室 </w:t>
      </w:r>
      <w:r>
        <w:rPr>
          <w:rFonts w:ascii="Times New Roman" w:hAnsi="Times New Roman" w:eastAsia="仿宋_GB2312" w:cs="Times New Roman"/>
          <w:spacing w:val="6"/>
          <w:sz w:val="28"/>
          <w:szCs w:val="28"/>
        </w:rPr>
        <w:t xml:space="preserve">                 </w:t>
      </w:r>
      <w:r>
        <w:rPr>
          <w:rFonts w:ascii="Times New Roman" w:hAnsi="Times New Roman" w:eastAsia="仿宋_GB2312" w:cs="Times New Roman"/>
          <w:sz w:val="28"/>
          <w:szCs w:val="28"/>
        </w:rPr>
        <w:t>2026年</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月2日印发</w:t>
      </w:r>
    </w:p>
    <w:p w14:paraId="423C4F6C">
      <w:pPr>
        <w:spacing w:line="580" w:lineRule="exact"/>
        <w:rPr>
          <w:rFonts w:ascii="Times New Roman" w:hAnsi="Times New Roman" w:eastAsia="黑体" w:cs="黑体"/>
          <w:sz w:val="28"/>
          <w:szCs w:val="28"/>
          <w:lang w:bidi="ar"/>
        </w:rPr>
      </w:pPr>
    </w:p>
    <w:p w14:paraId="61B2D7C8">
      <w:pPr>
        <w:spacing w:line="580" w:lineRule="exact"/>
        <w:rPr>
          <w:rFonts w:ascii="Times New Roman" w:hAnsi="Times New Roman" w:eastAsia="黑体" w:cs="黑体"/>
          <w:sz w:val="28"/>
          <w:szCs w:val="28"/>
          <w:lang w:bidi="ar"/>
        </w:rPr>
      </w:pPr>
    </w:p>
    <w:p w14:paraId="39060855">
      <w:pPr>
        <w:spacing w:line="580" w:lineRule="exact"/>
        <w:rPr>
          <w:rFonts w:ascii="Times New Roman" w:hAnsi="Times New Roman" w:eastAsia="黑体" w:cs="黑体"/>
          <w:sz w:val="28"/>
          <w:szCs w:val="28"/>
          <w:lang w:bidi="ar"/>
        </w:rPr>
      </w:pPr>
    </w:p>
    <w:p w14:paraId="7D954092">
      <w:pPr>
        <w:spacing w:line="580" w:lineRule="exact"/>
        <w:rPr>
          <w:rFonts w:ascii="Times New Roman" w:hAnsi="Times New Roman" w:eastAsia="黑体" w:cs="黑体"/>
          <w:sz w:val="28"/>
          <w:szCs w:val="28"/>
          <w:lang w:bidi="ar"/>
        </w:rPr>
      </w:pPr>
    </w:p>
    <w:p w14:paraId="2DAE43D2">
      <w:pPr>
        <w:spacing w:line="580" w:lineRule="exact"/>
        <w:rPr>
          <w:rFonts w:ascii="Times New Roman" w:hAnsi="Times New Roman" w:cs="Times New Roman"/>
        </w:rPr>
      </w:pPr>
    </w:p>
    <w:p w14:paraId="54B0CDDA">
      <w:pPr>
        <w:spacing w:line="580" w:lineRule="exact"/>
        <w:jc w:val="center"/>
        <w:rPr>
          <w:rFonts w:ascii="Times New Roman" w:hAnsi="Times New Roman" w:eastAsia="方正小标宋简体" w:cs="Times New Roman"/>
          <w:sz w:val="44"/>
          <w:szCs w:val="44"/>
        </w:rPr>
      </w:pPr>
    </w:p>
    <w:p w14:paraId="55BA20F1">
      <w:pPr>
        <w:spacing w:line="100" w:lineRule="atLeast"/>
        <w:jc w:val="center"/>
        <w:rPr>
          <w:rFonts w:ascii="Times New Roman" w:hAnsi="Times New Roman" w:eastAsia="方正小标宋简体" w:cs="Times New Roman"/>
          <w:kern w:val="0"/>
          <w:sz w:val="56"/>
          <w:szCs w:val="56"/>
        </w:rPr>
      </w:pPr>
      <w:r>
        <w:rPr>
          <w:rFonts w:ascii="Times New Roman" w:hAnsi="Times New Roman" w:eastAsia="方正小标宋简体" w:cs="Times New Roman"/>
          <w:kern w:val="0"/>
          <w:sz w:val="56"/>
          <w:szCs w:val="56"/>
        </w:rPr>
        <w:t>金湖县国民经济和社会发展</w:t>
      </w:r>
    </w:p>
    <w:p w14:paraId="608EB25D">
      <w:pPr>
        <w:spacing w:line="100" w:lineRule="atLeast"/>
        <w:jc w:val="center"/>
        <w:rPr>
          <w:rFonts w:ascii="Times New Roman" w:hAnsi="Times New Roman" w:eastAsia="方正小标宋简体" w:cs="Times New Roman"/>
          <w:kern w:val="0"/>
          <w:sz w:val="56"/>
          <w:szCs w:val="56"/>
        </w:rPr>
      </w:pPr>
      <w:r>
        <w:rPr>
          <w:rFonts w:ascii="Times New Roman" w:hAnsi="Times New Roman" w:eastAsia="方正小标宋简体" w:cs="Times New Roman"/>
          <w:kern w:val="0"/>
          <w:sz w:val="56"/>
          <w:szCs w:val="56"/>
        </w:rPr>
        <w:t>第十五个五年规划纲要</w:t>
      </w:r>
    </w:p>
    <w:p w14:paraId="662F2707">
      <w:pPr>
        <w:spacing w:line="587" w:lineRule="exact"/>
        <w:jc w:val="center"/>
        <w:rPr>
          <w:rFonts w:ascii="Times New Roman" w:hAnsi="Times New Roman" w:eastAsia="方正小标宋简体" w:cs="Times New Roman"/>
          <w:kern w:val="0"/>
          <w:sz w:val="48"/>
          <w:szCs w:val="48"/>
        </w:rPr>
      </w:pPr>
    </w:p>
    <w:p w14:paraId="10EEC52C">
      <w:pPr>
        <w:spacing w:line="587" w:lineRule="exact"/>
        <w:jc w:val="center"/>
        <w:rPr>
          <w:rFonts w:ascii="Times New Roman" w:hAnsi="Times New Roman" w:eastAsia="方正楷体_GBK" w:cs="Times New Roman"/>
          <w:color w:val="000000" w:themeColor="text1"/>
          <w:spacing w:val="-20"/>
          <w:kern w:val="0"/>
          <w:sz w:val="24"/>
          <w:szCs w:val="44"/>
          <w14:textFill>
            <w14:solidFill>
              <w14:schemeClr w14:val="tx1"/>
            </w14:solidFill>
          </w14:textFill>
        </w:rPr>
      </w:pPr>
    </w:p>
    <w:p w14:paraId="39F9198D">
      <w:pPr>
        <w:spacing w:line="587" w:lineRule="exact"/>
        <w:jc w:val="center"/>
        <w:rPr>
          <w:rFonts w:ascii="Times New Roman" w:hAnsi="Times New Roman" w:eastAsia="方正楷体_GBK" w:cs="Times New Roman"/>
          <w:color w:val="000000" w:themeColor="text1"/>
          <w:spacing w:val="-20"/>
          <w:kern w:val="0"/>
          <w:sz w:val="24"/>
          <w:szCs w:val="44"/>
          <w14:textFill>
            <w14:solidFill>
              <w14:schemeClr w14:val="tx1"/>
            </w14:solidFill>
          </w14:textFill>
        </w:rPr>
      </w:pPr>
    </w:p>
    <w:p w14:paraId="1251A2E8">
      <w:pPr>
        <w:spacing w:line="587" w:lineRule="exact"/>
        <w:jc w:val="center"/>
        <w:rPr>
          <w:rFonts w:ascii="Times New Roman" w:hAnsi="Times New Roman" w:cs="Times New Roman"/>
          <w:color w:val="000000" w:themeColor="text1"/>
          <w14:textFill>
            <w14:solidFill>
              <w14:schemeClr w14:val="tx1"/>
            </w14:solidFill>
          </w14:textFill>
        </w:rPr>
      </w:pPr>
    </w:p>
    <w:p w14:paraId="60E3489D">
      <w:pPr>
        <w:spacing w:line="587" w:lineRule="exact"/>
        <w:jc w:val="center"/>
        <w:rPr>
          <w:rFonts w:ascii="Times New Roman" w:hAnsi="Times New Roman" w:cs="Times New Roman"/>
          <w:color w:val="000000" w:themeColor="text1"/>
          <w14:textFill>
            <w14:solidFill>
              <w14:schemeClr w14:val="tx1"/>
            </w14:solidFill>
          </w14:textFill>
        </w:rPr>
      </w:pPr>
    </w:p>
    <w:p w14:paraId="0A65A0EE">
      <w:pPr>
        <w:spacing w:line="587" w:lineRule="exact"/>
        <w:jc w:val="center"/>
        <w:rPr>
          <w:rFonts w:ascii="Times New Roman" w:hAnsi="Times New Roman" w:cs="Times New Roman"/>
          <w:color w:val="000000" w:themeColor="text1"/>
          <w14:textFill>
            <w14:solidFill>
              <w14:schemeClr w14:val="tx1"/>
            </w14:solidFill>
          </w14:textFill>
        </w:rPr>
      </w:pPr>
    </w:p>
    <w:p w14:paraId="77DB8188">
      <w:pPr>
        <w:spacing w:line="587" w:lineRule="exact"/>
        <w:jc w:val="center"/>
        <w:rPr>
          <w:rFonts w:ascii="Times New Roman" w:hAnsi="Times New Roman" w:cs="Times New Roman"/>
          <w:color w:val="000000" w:themeColor="text1"/>
          <w14:textFill>
            <w14:solidFill>
              <w14:schemeClr w14:val="tx1"/>
            </w14:solidFill>
          </w14:textFill>
        </w:rPr>
      </w:pPr>
    </w:p>
    <w:p w14:paraId="3B052BA7">
      <w:pPr>
        <w:pStyle w:val="29"/>
        <w:rPr>
          <w:rFonts w:ascii="Times New Roman" w:hAnsi="Times New Roman" w:cs="Times New Roman"/>
          <w:color w:val="000000" w:themeColor="text1"/>
          <w14:textFill>
            <w14:solidFill>
              <w14:schemeClr w14:val="tx1"/>
            </w14:solidFill>
          </w14:textFill>
        </w:rPr>
      </w:pPr>
    </w:p>
    <w:p w14:paraId="50687936">
      <w:pPr>
        <w:spacing w:line="587" w:lineRule="exact"/>
        <w:jc w:val="center"/>
        <w:rPr>
          <w:rFonts w:ascii="Times New Roman" w:hAnsi="Times New Roman" w:cs="Times New Roman"/>
          <w:color w:val="000000" w:themeColor="text1"/>
          <w14:textFill>
            <w14:solidFill>
              <w14:schemeClr w14:val="tx1"/>
            </w14:solidFill>
          </w14:textFill>
        </w:rPr>
      </w:pPr>
    </w:p>
    <w:p w14:paraId="52FEFAC3">
      <w:pPr>
        <w:spacing w:line="587" w:lineRule="exact"/>
        <w:jc w:val="center"/>
        <w:rPr>
          <w:rFonts w:ascii="Times New Roman" w:hAnsi="Times New Roman" w:cs="Times New Roman"/>
          <w:color w:val="000000" w:themeColor="text1"/>
          <w14:textFill>
            <w14:solidFill>
              <w14:schemeClr w14:val="tx1"/>
            </w14:solidFill>
          </w14:textFill>
        </w:rPr>
      </w:pPr>
    </w:p>
    <w:p w14:paraId="3FCB0498">
      <w:pPr>
        <w:pStyle w:val="29"/>
        <w:rPr>
          <w:rFonts w:ascii="Times New Roman" w:hAnsi="Times New Roman" w:cs="Times New Roman"/>
        </w:rPr>
      </w:pPr>
    </w:p>
    <w:p w14:paraId="5CADC6B8"/>
    <w:p w14:paraId="3F121E09">
      <w:pPr>
        <w:pStyle w:val="29"/>
        <w:rPr>
          <w:rFonts w:ascii="Times New Roman" w:hAnsi="Times New Roman" w:eastAsia="方正楷体_GBK" w:cs="Times New Roman"/>
          <w:color w:val="000000" w:themeColor="text1"/>
          <w:sz w:val="32"/>
          <w:szCs w:val="32"/>
          <w14:textFill>
            <w14:solidFill>
              <w14:schemeClr w14:val="tx1"/>
            </w14:solidFill>
          </w14:textFill>
        </w:rPr>
        <w:sectPr>
          <w:headerReference r:id="rId11" w:type="first"/>
          <w:footerReference r:id="rId14" w:type="first"/>
          <w:headerReference r:id="rId9" w:type="default"/>
          <w:footerReference r:id="rId12" w:type="default"/>
          <w:headerReference r:id="rId10" w:type="even"/>
          <w:footerReference r:id="rId13" w:type="even"/>
          <w:pgSz w:w="11906" w:h="16838"/>
          <w:pgMar w:top="1928" w:right="1474" w:bottom="1928" w:left="1474" w:header="720" w:footer="1474" w:gutter="0"/>
          <w:pgNumType w:fmt="upperRoman" w:start="1"/>
          <w:cols w:space="425" w:num="1"/>
          <w:docGrid w:type="lines" w:linePitch="312" w:charSpace="0"/>
        </w:sectPr>
      </w:pPr>
      <w:r>
        <w:rPr>
          <w:rFonts w:ascii="Times New Roman" w:hAnsi="Times New Roman" w:cs="Times New Roman"/>
          <w:color w:val="000000" w:themeColor="text1"/>
          <w14:textFill>
            <w14:solidFill>
              <w14:schemeClr w14:val="tx1"/>
            </w14:solidFill>
          </w14:textFill>
        </w:rPr>
        <w:br w:type="page"/>
      </w:r>
    </w:p>
    <w:p w14:paraId="522B18D8">
      <w:pPr>
        <w:spacing w:line="587" w:lineRule="exact"/>
        <w:jc w:val="cente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t>目  录</w:t>
      </w:r>
    </w:p>
    <w:p w14:paraId="6CA88D1C">
      <w:pPr>
        <w:pStyle w:val="21"/>
        <w:rPr>
          <w:rStyle w:val="34"/>
          <w:rFonts w:ascii="Times New Roman" w:eastAsia="方正楷体_GBK"/>
          <w:color w:val="000000" w:themeColor="text1"/>
          <w:sz w:val="32"/>
          <w:szCs w:val="32"/>
          <w14:textFill>
            <w14:solidFill>
              <w14:schemeClr w14:val="tx1"/>
            </w14:solidFill>
          </w14:textFill>
        </w:rPr>
      </w:pPr>
    </w:p>
    <w:p w14:paraId="5A64EFDB">
      <w:pPr>
        <w:pStyle w:val="21"/>
        <w:rPr>
          <w:rStyle w:val="34"/>
          <w:rFonts w:ascii="Times New Roman" w:eastAsia="方正黑体_GBK"/>
          <w:color w:val="000000" w:themeColor="text1"/>
          <w:sz w:val="32"/>
          <w:szCs w:val="32"/>
          <w14:textFill>
            <w14:solidFill>
              <w14:schemeClr w14:val="tx1"/>
            </w14:solidFill>
          </w14:textFill>
        </w:rPr>
      </w:pPr>
      <w:r>
        <w:rPr>
          <w:rStyle w:val="34"/>
          <w:rFonts w:ascii="Times New Roman" w:eastAsia="方正仿宋_GBK"/>
          <w:color w:val="000000" w:themeColor="text1"/>
          <w:sz w:val="32"/>
          <w:szCs w:val="32"/>
          <w14:textFill>
            <w14:solidFill>
              <w14:schemeClr w14:val="tx1"/>
            </w14:solidFill>
          </w14:textFill>
        </w:rPr>
        <w:fldChar w:fldCharType="begin"/>
      </w:r>
      <w:r>
        <w:rPr>
          <w:rStyle w:val="34"/>
          <w:rFonts w:ascii="Times New Roman" w:eastAsia="方正仿宋_GBK"/>
          <w:color w:val="000000" w:themeColor="text1"/>
          <w:sz w:val="32"/>
          <w:szCs w:val="32"/>
          <w14:textFill>
            <w14:solidFill>
              <w14:schemeClr w14:val="tx1"/>
            </w14:solidFill>
          </w14:textFill>
        </w:rPr>
        <w:instrText xml:space="preserve"> TOC \o "1-3" \h \z \u </w:instrText>
      </w:r>
      <w:r>
        <w:rPr>
          <w:rStyle w:val="34"/>
          <w:rFonts w:ascii="Times New Roman" w:eastAsia="方正仿宋_GBK"/>
          <w:color w:val="000000" w:themeColor="text1"/>
          <w:sz w:val="32"/>
          <w:szCs w:val="32"/>
          <w14:textFill>
            <w14:solidFill>
              <w14:schemeClr w14:val="tx1"/>
            </w14:solidFill>
          </w14:textFill>
        </w:rPr>
        <w:fldChar w:fldCharType="separate"/>
      </w:r>
      <w:r>
        <w:fldChar w:fldCharType="begin"/>
      </w:r>
      <w:r>
        <w:instrText xml:space="preserve"> HYPERLINK \l "_Toc218695820" </w:instrText>
      </w:r>
      <w:r>
        <w:fldChar w:fldCharType="separate"/>
      </w:r>
      <w:r>
        <w:rPr>
          <w:rStyle w:val="34"/>
          <w:rFonts w:ascii="Times New Roman" w:eastAsia="方正黑体_GBK"/>
          <w:color w:val="000000" w:themeColor="text1"/>
          <w:sz w:val="32"/>
          <w:szCs w:val="32"/>
          <w14:textFill>
            <w14:solidFill>
              <w14:schemeClr w14:val="tx1"/>
            </w14:solidFill>
          </w14:textFill>
        </w:rPr>
        <w:t>序  言</w:t>
      </w:r>
      <w:r>
        <w:rPr>
          <w:rStyle w:val="34"/>
          <w:rFonts w:ascii="Times New Roman" w:eastAsia="方正黑体_GBK"/>
          <w:color w:val="000000" w:themeColor="text1"/>
          <w:sz w:val="32"/>
          <w:szCs w:val="32"/>
          <w14:textFill>
            <w14:solidFill>
              <w14:schemeClr w14:val="tx1"/>
            </w14:solidFill>
          </w14:textFill>
        </w:rPr>
        <w:tab/>
      </w:r>
      <w:r>
        <w:rPr>
          <w:rStyle w:val="34"/>
          <w:rFonts w:ascii="Times New Roman" w:eastAsia="方正黑体_GBK"/>
          <w:color w:val="000000" w:themeColor="text1"/>
          <w:sz w:val="32"/>
          <w:szCs w:val="32"/>
          <w14:textFill>
            <w14:solidFill>
              <w14:schemeClr w14:val="tx1"/>
            </w14:solidFill>
          </w14:textFill>
        </w:rPr>
        <w:fldChar w:fldCharType="begin"/>
      </w:r>
      <w:r>
        <w:rPr>
          <w:rStyle w:val="34"/>
          <w:rFonts w:ascii="Times New Roman" w:eastAsia="方正黑体_GBK"/>
          <w:color w:val="000000" w:themeColor="text1"/>
          <w:sz w:val="32"/>
          <w:szCs w:val="32"/>
          <w14:textFill>
            <w14:solidFill>
              <w14:schemeClr w14:val="tx1"/>
            </w14:solidFill>
          </w14:textFill>
        </w:rPr>
        <w:instrText xml:space="preserve"> PAGEREF _Toc218695820 \h </w:instrText>
      </w:r>
      <w:r>
        <w:rPr>
          <w:rStyle w:val="34"/>
          <w:rFonts w:ascii="Times New Roman" w:eastAsia="方正黑体_GBK"/>
          <w:color w:val="000000" w:themeColor="text1"/>
          <w:sz w:val="32"/>
          <w:szCs w:val="32"/>
          <w14:textFill>
            <w14:solidFill>
              <w14:schemeClr w14:val="tx1"/>
            </w14:solidFill>
          </w14:textFill>
        </w:rPr>
        <w:fldChar w:fldCharType="separate"/>
      </w:r>
      <w:r>
        <w:rPr>
          <w:rStyle w:val="34"/>
          <w:rFonts w:ascii="Times New Roman" w:eastAsia="方正黑体_GBK"/>
          <w:color w:val="000000" w:themeColor="text1"/>
          <w:sz w:val="32"/>
          <w:szCs w:val="32"/>
          <w14:textFill>
            <w14:solidFill>
              <w14:schemeClr w14:val="tx1"/>
            </w14:solidFill>
          </w14:textFill>
        </w:rPr>
        <w:t>1</w:t>
      </w:r>
      <w:r>
        <w:rPr>
          <w:rStyle w:val="34"/>
          <w:rFonts w:ascii="Times New Roman" w:eastAsia="方正黑体_GBK"/>
          <w:color w:val="000000" w:themeColor="text1"/>
          <w:sz w:val="32"/>
          <w:szCs w:val="32"/>
          <w14:textFill>
            <w14:solidFill>
              <w14:schemeClr w14:val="tx1"/>
            </w14:solidFill>
          </w14:textFill>
        </w:rPr>
        <w:fldChar w:fldCharType="end"/>
      </w:r>
      <w:r>
        <w:rPr>
          <w:rStyle w:val="34"/>
          <w:rFonts w:ascii="Times New Roman" w:eastAsia="方正黑体_GBK"/>
          <w:color w:val="000000" w:themeColor="text1"/>
          <w:sz w:val="32"/>
          <w:szCs w:val="32"/>
          <w14:textFill>
            <w14:solidFill>
              <w14:schemeClr w14:val="tx1"/>
            </w14:solidFill>
          </w14:textFill>
        </w:rPr>
        <w:fldChar w:fldCharType="end"/>
      </w:r>
    </w:p>
    <w:p w14:paraId="6D529925">
      <w:pPr>
        <w:pStyle w:val="21"/>
        <w:rPr>
          <w:rStyle w:val="34"/>
          <w:rFonts w:ascii="Times New Roman" w:eastAsia="方正黑体_GBK"/>
          <w:color w:val="000000" w:themeColor="text1"/>
          <w:sz w:val="32"/>
          <w:szCs w:val="32"/>
          <w14:textFill>
            <w14:solidFill>
              <w14:schemeClr w14:val="tx1"/>
            </w14:solidFill>
          </w14:textFill>
        </w:rPr>
      </w:pPr>
      <w:r>
        <w:fldChar w:fldCharType="begin"/>
      </w:r>
      <w:r>
        <w:instrText xml:space="preserve"> HYPERLINK \l "_Toc218695821" </w:instrText>
      </w:r>
      <w:r>
        <w:fldChar w:fldCharType="separate"/>
      </w:r>
      <w:r>
        <w:rPr>
          <w:rStyle w:val="34"/>
          <w:rFonts w:ascii="Times New Roman" w:eastAsia="方正黑体_GBK"/>
          <w:color w:val="000000" w:themeColor="text1"/>
          <w:sz w:val="32"/>
          <w:szCs w:val="32"/>
          <w14:textFill>
            <w14:solidFill>
              <w14:schemeClr w14:val="tx1"/>
            </w14:solidFill>
          </w14:textFill>
        </w:rPr>
        <w:t>第一篇  把准时代方位 系统谋划擘画高质量发展蓝图</w:t>
      </w:r>
      <w:r>
        <w:rPr>
          <w:rStyle w:val="34"/>
          <w:rFonts w:ascii="Times New Roman" w:eastAsia="方正黑体_GBK"/>
          <w:color w:val="000000" w:themeColor="text1"/>
          <w:sz w:val="32"/>
          <w:szCs w:val="32"/>
          <w14:textFill>
            <w14:solidFill>
              <w14:schemeClr w14:val="tx1"/>
            </w14:solidFill>
          </w14:textFill>
        </w:rPr>
        <w:tab/>
      </w:r>
      <w:r>
        <w:rPr>
          <w:rStyle w:val="34"/>
          <w:rFonts w:ascii="Times New Roman" w:eastAsia="方正黑体_GBK"/>
          <w:color w:val="000000" w:themeColor="text1"/>
          <w:sz w:val="32"/>
          <w:szCs w:val="32"/>
          <w14:textFill>
            <w14:solidFill>
              <w14:schemeClr w14:val="tx1"/>
            </w14:solidFill>
          </w14:textFill>
        </w:rPr>
        <w:fldChar w:fldCharType="begin"/>
      </w:r>
      <w:r>
        <w:rPr>
          <w:rStyle w:val="34"/>
          <w:rFonts w:ascii="Times New Roman" w:eastAsia="方正黑体_GBK"/>
          <w:color w:val="000000" w:themeColor="text1"/>
          <w:sz w:val="32"/>
          <w:szCs w:val="32"/>
          <w14:textFill>
            <w14:solidFill>
              <w14:schemeClr w14:val="tx1"/>
            </w14:solidFill>
          </w14:textFill>
        </w:rPr>
        <w:instrText xml:space="preserve"> PAGEREF _Toc218695821 \h </w:instrText>
      </w:r>
      <w:r>
        <w:rPr>
          <w:rStyle w:val="34"/>
          <w:rFonts w:ascii="Times New Roman" w:eastAsia="方正黑体_GBK"/>
          <w:color w:val="000000" w:themeColor="text1"/>
          <w:sz w:val="32"/>
          <w:szCs w:val="32"/>
          <w14:textFill>
            <w14:solidFill>
              <w14:schemeClr w14:val="tx1"/>
            </w14:solidFill>
          </w14:textFill>
        </w:rPr>
        <w:fldChar w:fldCharType="separate"/>
      </w:r>
      <w:r>
        <w:rPr>
          <w:rStyle w:val="34"/>
          <w:rFonts w:ascii="Times New Roman" w:eastAsia="方正黑体_GBK"/>
          <w:color w:val="000000" w:themeColor="text1"/>
          <w:sz w:val="32"/>
          <w:szCs w:val="32"/>
          <w14:textFill>
            <w14:solidFill>
              <w14:schemeClr w14:val="tx1"/>
            </w14:solidFill>
          </w14:textFill>
        </w:rPr>
        <w:t>2</w:t>
      </w:r>
      <w:r>
        <w:rPr>
          <w:rStyle w:val="34"/>
          <w:rFonts w:ascii="Times New Roman" w:eastAsia="方正黑体_GBK"/>
          <w:color w:val="000000" w:themeColor="text1"/>
          <w:sz w:val="32"/>
          <w:szCs w:val="32"/>
          <w14:textFill>
            <w14:solidFill>
              <w14:schemeClr w14:val="tx1"/>
            </w14:solidFill>
          </w14:textFill>
        </w:rPr>
        <w:fldChar w:fldCharType="end"/>
      </w:r>
      <w:r>
        <w:rPr>
          <w:rStyle w:val="34"/>
          <w:rFonts w:ascii="Times New Roman" w:eastAsia="方正黑体_GBK"/>
          <w:color w:val="000000" w:themeColor="text1"/>
          <w:sz w:val="32"/>
          <w:szCs w:val="32"/>
          <w14:textFill>
            <w14:solidFill>
              <w14:schemeClr w14:val="tx1"/>
            </w14:solidFill>
          </w14:textFill>
        </w:rPr>
        <w:fldChar w:fldCharType="end"/>
      </w:r>
    </w:p>
    <w:p w14:paraId="14CA128F">
      <w:pPr>
        <w:pStyle w:val="25"/>
        <w:tabs>
          <w:tab w:val="right" w:leader="dot" w:pos="8948"/>
        </w:tabs>
        <w:spacing w:line="560" w:lineRule="exact"/>
        <w:rPr>
          <w:rStyle w:val="34"/>
          <w:rFonts w:ascii="Times New Roman" w:hAnsi="Times New Roman" w:eastAsia="方正楷体_GBK" w:cs="Times New Roman"/>
          <w:color w:val="000000" w:themeColor="text1"/>
          <w:kern w:val="0"/>
          <w:sz w:val="32"/>
          <w:szCs w:val="32"/>
          <w14:textFill>
            <w14:solidFill>
              <w14:schemeClr w14:val="tx1"/>
            </w14:solidFill>
          </w14:textFill>
        </w:rPr>
      </w:pPr>
      <w:r>
        <w:fldChar w:fldCharType="begin"/>
      </w:r>
      <w:r>
        <w:instrText xml:space="preserve"> HYPERLINK \l "_Toc218695822" </w:instrText>
      </w:r>
      <w:r>
        <w:fldChar w:fldCharType="separate"/>
      </w:r>
      <w:r>
        <w:rPr>
          <w:rStyle w:val="34"/>
          <w:rFonts w:ascii="Times New Roman" w:hAnsi="Times New Roman" w:eastAsia="方正楷体_GBK" w:cs="Times New Roman"/>
          <w:color w:val="000000" w:themeColor="text1"/>
          <w:kern w:val="0"/>
          <w:sz w:val="32"/>
          <w:szCs w:val="32"/>
          <w14:textFill>
            <w14:solidFill>
              <w14:schemeClr w14:val="tx1"/>
            </w14:solidFill>
          </w14:textFill>
        </w:rPr>
        <w:t>第一章  发展基础与宏观形势</w:t>
      </w:r>
      <w:r>
        <w:rPr>
          <w:rStyle w:val="34"/>
          <w:rFonts w:ascii="Times New Roman" w:hAnsi="Times New Roman" w:eastAsia="方正楷体_GBK" w:cs="Times New Roman"/>
          <w:color w:val="000000" w:themeColor="text1"/>
          <w:kern w:val="0"/>
          <w:sz w:val="32"/>
          <w:szCs w:val="32"/>
          <w14:textFill>
            <w14:solidFill>
              <w14:schemeClr w14:val="tx1"/>
            </w14:solidFill>
          </w14:textFill>
        </w:rPr>
        <w:tab/>
      </w:r>
      <w:r>
        <w:rPr>
          <w:rStyle w:val="34"/>
          <w:rFonts w:ascii="Times New Roman" w:hAnsi="Times New Roman" w:eastAsia="方正楷体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楷体_GBK" w:cs="Times New Roman"/>
          <w:color w:val="000000" w:themeColor="text1"/>
          <w:kern w:val="0"/>
          <w:sz w:val="32"/>
          <w:szCs w:val="32"/>
          <w14:textFill>
            <w14:solidFill>
              <w14:schemeClr w14:val="tx1"/>
            </w14:solidFill>
          </w14:textFill>
        </w:rPr>
        <w:instrText xml:space="preserve"> PAGEREF _Toc218695822 \h </w:instrText>
      </w:r>
      <w:r>
        <w:rPr>
          <w:rStyle w:val="34"/>
          <w:rFonts w:ascii="Times New Roman" w:hAnsi="Times New Roman" w:eastAsia="方正楷体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楷体_GBK" w:cs="Times New Roman"/>
          <w:color w:val="000000" w:themeColor="text1"/>
          <w:kern w:val="0"/>
          <w:sz w:val="32"/>
          <w:szCs w:val="32"/>
          <w14:textFill>
            <w14:solidFill>
              <w14:schemeClr w14:val="tx1"/>
            </w14:solidFill>
          </w14:textFill>
        </w:rPr>
        <w:t>2</w:t>
      </w:r>
      <w:r>
        <w:rPr>
          <w:rStyle w:val="34"/>
          <w:rFonts w:ascii="Times New Roman" w:hAnsi="Times New Roman" w:eastAsia="方正楷体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楷体_GBK" w:cs="Times New Roman"/>
          <w:color w:val="000000" w:themeColor="text1"/>
          <w:kern w:val="0"/>
          <w:sz w:val="32"/>
          <w:szCs w:val="32"/>
          <w14:textFill>
            <w14:solidFill>
              <w14:schemeClr w14:val="tx1"/>
            </w14:solidFill>
          </w14:textFill>
        </w:rPr>
        <w:fldChar w:fldCharType="end"/>
      </w:r>
    </w:p>
    <w:p w14:paraId="2736C401">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"_Toc218695823"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发展基础</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_Toc218695823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2</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B0A1BD9">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"_Toc218695824"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主要经验</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_Toc218695824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DDB4A98">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"_Toc218695825"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宏观形势</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_Toc218695825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11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0C97F4F">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"_Toc218695826"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第四节  阶段特征</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_Toc218695826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12</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D25EE95">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"_Toc218695827" </w:instrText>
      </w:r>
      <w:r>
        <w:fldChar w:fldCharType="separate"/>
      </w:r>
      <w:r>
        <w:rPr>
          <w:rFonts w:ascii="Times New Roman" w:hAnsi="Times New Roman" w:eastAsia="方正楷体_GBK" w:cs="Times New Roman"/>
          <w:sz w:val="32"/>
          <w:szCs w:val="32"/>
        </w:rPr>
        <w:t>第二章  总体要求与目标愿景</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_Toc218695827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33ED81E">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"_Toc218695828"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指导思想</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_Toc218695828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14</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0CF5D8D5">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"_Toc218695829"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发展定位</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_Toc218695829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15</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E8C265D">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"_Toc218695830"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战略导向</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_Toc218695830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16</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1A8A675">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"_Toc218695831"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第四节  目标愿景</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_Toc218695831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17</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6E06CD30">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"_Toc218695832"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第五节  空间布局</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_Toc218695832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21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15FA9FDA">
      <w:pPr>
        <w:pStyle w:val="21"/>
        <w:rPr>
          <w:rFonts w:ascii="Times New Roman" w:eastAsia="方正黑体_GBK"/>
          <w:sz w:val="32"/>
          <w:szCs w:val="32"/>
        </w:rPr>
      </w:pPr>
      <w:r>
        <w:fldChar w:fldCharType="begin"/>
      </w:r>
      <w:r>
        <w:instrText xml:space="preserve"> HYPERLINK \l "_Toc218695833" </w:instrText>
      </w:r>
      <w:r>
        <w:fldChar w:fldCharType="separate"/>
      </w:r>
      <w:r>
        <w:rPr>
          <w:rFonts w:ascii="Times New Roman" w:eastAsia="方正黑体_GBK"/>
          <w:sz w:val="32"/>
          <w:szCs w:val="32"/>
        </w:rPr>
        <w:t>第二篇  锻强产业实力 科创赋能打造长三角智造金谷</w:t>
      </w:r>
      <w:r>
        <w:rPr>
          <w:rFonts w:ascii="Times New Roman" w:eastAsia="方正黑体_GBK"/>
          <w:sz w:val="32"/>
          <w:szCs w:val="32"/>
        </w:rPr>
        <w:tab/>
      </w:r>
      <w:r>
        <w:rPr>
          <w:rFonts w:ascii="Times New Roman" w:eastAsia="方正黑体_GBK"/>
          <w:sz w:val="32"/>
          <w:szCs w:val="32"/>
        </w:rPr>
        <w:fldChar w:fldCharType="begin"/>
      </w:r>
      <w:r>
        <w:rPr>
          <w:rFonts w:ascii="Times New Roman" w:eastAsia="方正黑体_GBK"/>
          <w:sz w:val="32"/>
          <w:szCs w:val="32"/>
        </w:rPr>
        <w:instrText xml:space="preserve"> PAGEREF _Toc218695833 \h </w:instrText>
      </w:r>
      <w:r>
        <w:rPr>
          <w:rFonts w:ascii="Times New Roman" w:eastAsia="方正黑体_GBK"/>
          <w:sz w:val="32"/>
          <w:szCs w:val="32"/>
        </w:rPr>
        <w:fldChar w:fldCharType="separate"/>
      </w:r>
      <w:r>
        <w:rPr>
          <w:rFonts w:ascii="Times New Roman" w:eastAsia="方正黑体_GBK"/>
          <w:sz w:val="32"/>
          <w:szCs w:val="32"/>
        </w:rPr>
        <w:t>23</w:t>
      </w:r>
      <w:r>
        <w:rPr>
          <w:rFonts w:ascii="Times New Roman" w:eastAsia="方正黑体_GBK"/>
          <w:sz w:val="32"/>
          <w:szCs w:val="32"/>
        </w:rPr>
        <w:fldChar w:fldCharType="end"/>
      </w:r>
      <w:r>
        <w:rPr>
          <w:rFonts w:ascii="Times New Roman" w:eastAsia="方正黑体_GBK"/>
          <w:sz w:val="32"/>
          <w:szCs w:val="32"/>
        </w:rPr>
        <w:fldChar w:fldCharType="end"/>
      </w:r>
    </w:p>
    <w:p w14:paraId="4AD339F3">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"_Toc218695834" </w:instrText>
      </w:r>
      <w:r>
        <w:fldChar w:fldCharType="separate"/>
      </w:r>
      <w:r>
        <w:rPr>
          <w:rFonts w:ascii="Times New Roman" w:hAnsi="Times New Roman" w:eastAsia="方正楷体_GBK" w:cs="Times New Roman"/>
          <w:sz w:val="32"/>
          <w:szCs w:val="32"/>
        </w:rPr>
        <w:t>第三章  聚力3+X现代化产业体系布局优化</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_Toc218695834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23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462EB42">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"_Toc218695835"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推动三大主导产业迭代升级</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_Toc218695835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23</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01E7FD80">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"_Toc218695836"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培育招引战略性新兴产业及未来产业</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_Toc218695836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26</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3BF4C5A8">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"_Toc218695837"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推动生产性服务业高端化发展</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_Toc218695837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28</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384F93AD">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"_Toc218695838"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第四节  优化特色产业发展生态</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_Toc218695838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29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5FE135ED">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"_Toc218695839" </w:instrText>
      </w:r>
      <w:r>
        <w:fldChar w:fldCharType="separate"/>
      </w:r>
      <w:r>
        <w:rPr>
          <w:rFonts w:ascii="Times New Roman" w:hAnsi="Times New Roman" w:eastAsia="方正楷体_GBK" w:cs="Times New Roman"/>
          <w:sz w:val="32"/>
          <w:szCs w:val="32"/>
        </w:rPr>
        <w:t>第四章  科技创新引领新质生产力发展</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_Toc218695839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DDEBC62">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"_Toc218695840"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强化企业创新主体地位</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_Toc218695840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31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4EDDC09">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"_Toc218695841"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推动产业创新和科技创新融合</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_Toc218695841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32</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41F1657">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"_Toc218695842"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营造良好科技创新生态</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_Toc218695842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33</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67A8F5F9">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"_Toc218695843"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第四节  打造产业人才集聚高地</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_Toc218695843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34</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57F140B9">
      <w:pPr>
        <w:pStyle w:val="21"/>
        <w:rPr>
          <w:rFonts w:ascii="Times New Roman" w:eastAsia="方正黑体_GBK"/>
          <w:sz w:val="32"/>
          <w:szCs w:val="32"/>
        </w:rPr>
      </w:pPr>
      <w:r>
        <w:fldChar w:fldCharType="begin"/>
      </w:r>
      <w:r>
        <w:instrText xml:space="preserve"> HYPERLINK \l "_Toc218695844" </w:instrText>
      </w:r>
      <w:r>
        <w:fldChar w:fldCharType="separate"/>
      </w:r>
      <w:r>
        <w:rPr>
          <w:rFonts w:ascii="Times New Roman" w:eastAsia="方正黑体_GBK"/>
          <w:sz w:val="32"/>
          <w:szCs w:val="32"/>
        </w:rPr>
        <w:t>第三篇  激发内需潜能 供需互促构筑高水平投资高地</w:t>
      </w:r>
      <w:r>
        <w:rPr>
          <w:rFonts w:ascii="Times New Roman" w:eastAsia="方正黑体_GBK"/>
          <w:sz w:val="32"/>
          <w:szCs w:val="32"/>
        </w:rPr>
        <w:tab/>
      </w:r>
      <w:r>
        <w:rPr>
          <w:rFonts w:ascii="Times New Roman" w:eastAsia="方正黑体_GBK"/>
          <w:sz w:val="32"/>
          <w:szCs w:val="32"/>
        </w:rPr>
        <w:fldChar w:fldCharType="begin"/>
      </w:r>
      <w:r>
        <w:rPr>
          <w:rFonts w:ascii="Times New Roman" w:eastAsia="方正黑体_GBK"/>
          <w:sz w:val="32"/>
          <w:szCs w:val="32"/>
        </w:rPr>
        <w:instrText xml:space="preserve"> PAGEREF _Toc218695844 \h </w:instrText>
      </w:r>
      <w:r>
        <w:rPr>
          <w:rFonts w:ascii="Times New Roman" w:eastAsia="方正黑体_GBK"/>
          <w:sz w:val="32"/>
          <w:szCs w:val="32"/>
        </w:rPr>
        <w:fldChar w:fldCharType="separate"/>
      </w:r>
      <w:r>
        <w:rPr>
          <w:rFonts w:ascii="Times New Roman" w:eastAsia="方正黑体_GBK"/>
          <w:sz w:val="32"/>
          <w:szCs w:val="32"/>
        </w:rPr>
        <w:t>36</w:t>
      </w:r>
      <w:r>
        <w:rPr>
          <w:rFonts w:ascii="Times New Roman" w:eastAsia="方正黑体_GBK"/>
          <w:sz w:val="32"/>
          <w:szCs w:val="32"/>
        </w:rPr>
        <w:fldChar w:fldCharType="end"/>
      </w:r>
      <w:r>
        <w:rPr>
          <w:rFonts w:ascii="Times New Roman" w:eastAsia="方正黑体_GBK"/>
          <w:sz w:val="32"/>
          <w:szCs w:val="32"/>
        </w:rPr>
        <w:fldChar w:fldCharType="end"/>
      </w:r>
    </w:p>
    <w:p w14:paraId="5D4CEF4B">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"_Toc218695845" </w:instrText>
      </w:r>
      <w:r>
        <w:fldChar w:fldCharType="separate"/>
      </w:r>
      <w:r>
        <w:rPr>
          <w:rFonts w:ascii="Times New Roman" w:hAnsi="Times New Roman" w:eastAsia="方正楷体_GBK" w:cs="Times New Roman"/>
          <w:sz w:val="32"/>
          <w:szCs w:val="32"/>
        </w:rPr>
        <w:t>第五章  合力攻坚扩大有效投资</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_Toc218695845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B84F446">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"_Toc218695846"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着力推进招商选资</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_Toc218695846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36</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669C0E13">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"_Toc218695847"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完善多元投资方式</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_Toc218695847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37</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0BD4D76E">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"_Toc218695848" </w:instrText>
      </w:r>
      <w:r>
        <w:fldChar w:fldCharType="separate"/>
      </w:r>
      <w:r>
        <w:rPr>
          <w:rFonts w:ascii="Times New Roman" w:hAnsi="Times New Roman" w:eastAsia="方正楷体_GBK" w:cs="Times New Roman"/>
          <w:sz w:val="32"/>
          <w:szCs w:val="32"/>
        </w:rPr>
        <w:t>第六章  全方位释放消费潜能</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_Toc218695848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F595958">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"_Toc218695849"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持续提振消费</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_Toc218695849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39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1C582A0">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"_Toc218695850"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推动文旅融合发展</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_Toc218695850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41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3130FF21">
      <w:pPr>
        <w:pStyle w:val="21"/>
        <w:rPr>
          <w:rFonts w:ascii="Times New Roman" w:eastAsia="方正黑体_GBK"/>
          <w:sz w:val="32"/>
          <w:szCs w:val="32"/>
        </w:rPr>
      </w:pPr>
      <w:r>
        <w:fldChar w:fldCharType="begin"/>
      </w:r>
      <w:r>
        <w:instrText xml:space="preserve"> HYPERLINK \l "_Toc218695851" </w:instrText>
      </w:r>
      <w:r>
        <w:fldChar w:fldCharType="separate"/>
      </w:r>
      <w:r>
        <w:rPr>
          <w:rFonts w:ascii="Times New Roman" w:eastAsia="方正黑体_GBK"/>
          <w:sz w:val="32"/>
          <w:szCs w:val="32"/>
        </w:rPr>
        <w:t>第四篇  扩大对外开放 改革攻坚激发全社会发展活力</w:t>
      </w:r>
      <w:r>
        <w:rPr>
          <w:rFonts w:ascii="Times New Roman" w:eastAsia="方正黑体_GBK"/>
          <w:sz w:val="32"/>
          <w:szCs w:val="32"/>
        </w:rPr>
        <w:tab/>
      </w:r>
      <w:r>
        <w:rPr>
          <w:rFonts w:ascii="Times New Roman" w:eastAsia="方正黑体_GBK"/>
          <w:sz w:val="32"/>
          <w:szCs w:val="32"/>
        </w:rPr>
        <w:fldChar w:fldCharType="begin"/>
      </w:r>
      <w:r>
        <w:rPr>
          <w:rFonts w:ascii="Times New Roman" w:eastAsia="方正黑体_GBK"/>
          <w:sz w:val="32"/>
          <w:szCs w:val="32"/>
        </w:rPr>
        <w:instrText xml:space="preserve"> PAGEREF _Toc218695851 \h </w:instrText>
      </w:r>
      <w:r>
        <w:rPr>
          <w:rFonts w:ascii="Times New Roman" w:eastAsia="方正黑体_GBK"/>
          <w:sz w:val="32"/>
          <w:szCs w:val="32"/>
        </w:rPr>
        <w:fldChar w:fldCharType="separate"/>
      </w:r>
      <w:r>
        <w:rPr>
          <w:rFonts w:ascii="Times New Roman" w:eastAsia="方正黑体_GBK"/>
          <w:sz w:val="32"/>
          <w:szCs w:val="32"/>
        </w:rPr>
        <w:t>43</w:t>
      </w:r>
      <w:r>
        <w:rPr>
          <w:rFonts w:ascii="Times New Roman" w:eastAsia="方正黑体_GBK"/>
          <w:sz w:val="32"/>
          <w:szCs w:val="32"/>
        </w:rPr>
        <w:fldChar w:fldCharType="end"/>
      </w:r>
      <w:r>
        <w:rPr>
          <w:rFonts w:ascii="Times New Roman" w:eastAsia="方正黑体_GBK"/>
          <w:sz w:val="32"/>
          <w:szCs w:val="32"/>
        </w:rPr>
        <w:fldChar w:fldCharType="end"/>
      </w:r>
    </w:p>
    <w:p w14:paraId="3FB86802">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"_Toc218695852" </w:instrText>
      </w:r>
      <w:r>
        <w:fldChar w:fldCharType="separate"/>
      </w:r>
      <w:r>
        <w:rPr>
          <w:rFonts w:ascii="Times New Roman" w:hAnsi="Times New Roman" w:eastAsia="方正楷体_GBK" w:cs="Times New Roman"/>
          <w:sz w:val="32"/>
          <w:szCs w:val="32"/>
        </w:rPr>
        <w:t>第七章  深化重点领域改革攻坚</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_Toc218695852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07AF875">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"_Toc218695853"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提升经济治理效能</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_Toc218695853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43</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89A7147">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"_Toc218695854"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融入全国统一大市场建设</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_Toc218695854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44</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7F8834A">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"_Toc218695855"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打造“四最”营商环境</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_Toc218695855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46</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3D18733">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"_Toc218695856" </w:instrText>
      </w:r>
      <w:r>
        <w:fldChar w:fldCharType="separate"/>
      </w:r>
      <w:r>
        <w:rPr>
          <w:rFonts w:ascii="Times New Roman" w:hAnsi="Times New Roman" w:eastAsia="方正楷体_GBK" w:cs="Times New Roman"/>
          <w:sz w:val="32"/>
          <w:szCs w:val="32"/>
        </w:rPr>
        <w:t>第八章  扩大高水平对外开放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_Toc218695856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83C76C9">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"_Toc218695857"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提升对外贸易水平</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_Toc218695857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47</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02A5CCE6">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"_Toc218695858"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拓展双向投资合作空间</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_Toc218695858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49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DB238CC">
      <w:pPr>
        <w:pStyle w:val="21"/>
        <w:rPr>
          <w:rFonts w:ascii="Times New Roman" w:eastAsia="方正黑体_GBK"/>
          <w:sz w:val="32"/>
          <w:szCs w:val="32"/>
        </w:rPr>
      </w:pPr>
      <w:r>
        <w:fldChar w:fldCharType="begin"/>
      </w:r>
      <w:r>
        <w:instrText xml:space="preserve"> HYPERLINK \l "_Toc218695859" </w:instrText>
      </w:r>
      <w:r>
        <w:fldChar w:fldCharType="separate"/>
      </w:r>
      <w:r>
        <w:rPr>
          <w:rFonts w:ascii="Times New Roman" w:eastAsia="方正黑体_GBK"/>
          <w:sz w:val="32"/>
          <w:szCs w:val="32"/>
        </w:rPr>
        <w:t>第五篇  深化城乡融合 绿色转型塑造现代化水韵湖城</w:t>
      </w:r>
      <w:r>
        <w:rPr>
          <w:rFonts w:ascii="Times New Roman" w:eastAsia="方正黑体_GBK"/>
          <w:sz w:val="32"/>
          <w:szCs w:val="32"/>
        </w:rPr>
        <w:tab/>
      </w:r>
      <w:r>
        <w:rPr>
          <w:rFonts w:ascii="Times New Roman" w:eastAsia="方正黑体_GBK"/>
          <w:sz w:val="32"/>
          <w:szCs w:val="32"/>
        </w:rPr>
        <w:fldChar w:fldCharType="begin"/>
      </w:r>
      <w:r>
        <w:rPr>
          <w:rFonts w:ascii="Times New Roman" w:eastAsia="方正黑体_GBK"/>
          <w:sz w:val="32"/>
          <w:szCs w:val="32"/>
        </w:rPr>
        <w:instrText xml:space="preserve"> PAGEREF _Toc218695859 \h </w:instrText>
      </w:r>
      <w:r>
        <w:rPr>
          <w:rFonts w:ascii="Times New Roman" w:eastAsia="方正黑体_GBK"/>
          <w:sz w:val="32"/>
          <w:szCs w:val="32"/>
        </w:rPr>
        <w:fldChar w:fldCharType="separate"/>
      </w:r>
      <w:r>
        <w:rPr>
          <w:rFonts w:ascii="Times New Roman" w:eastAsia="方正黑体_GBK"/>
          <w:sz w:val="32"/>
          <w:szCs w:val="32"/>
        </w:rPr>
        <w:t>50</w:t>
      </w:r>
      <w:r>
        <w:rPr>
          <w:rFonts w:ascii="Times New Roman" w:eastAsia="方正黑体_GBK"/>
          <w:sz w:val="32"/>
          <w:szCs w:val="32"/>
        </w:rPr>
        <w:fldChar w:fldCharType="end"/>
      </w:r>
      <w:r>
        <w:rPr>
          <w:rFonts w:ascii="Times New Roman" w:eastAsia="方正黑体_GBK"/>
          <w:sz w:val="32"/>
          <w:szCs w:val="32"/>
        </w:rPr>
        <w:fldChar w:fldCharType="end"/>
      </w:r>
    </w:p>
    <w:p w14:paraId="2939A827">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"_Toc218695860" </w:instrText>
      </w:r>
      <w:r>
        <w:fldChar w:fldCharType="separate"/>
      </w:r>
      <w:r>
        <w:rPr>
          <w:rFonts w:ascii="Times New Roman" w:hAnsi="Times New Roman" w:eastAsia="方正楷体_GBK" w:cs="Times New Roman"/>
          <w:sz w:val="32"/>
          <w:szCs w:val="32"/>
        </w:rPr>
        <w:t>第九章  深入实施以人为本的新型城镇化战略</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_Toc218695860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3F4B9EF">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"_Toc218695861"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推进城区高品质发展</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_Toc218695861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50</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E8DD086">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"_Toc218695862"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提升县域城镇化水平</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_Toc218695862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52</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185A88E">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"_Toc218695863" </w:instrText>
      </w:r>
      <w:r>
        <w:fldChar w:fldCharType="separate"/>
      </w:r>
      <w:r>
        <w:rPr>
          <w:rFonts w:ascii="Times New Roman" w:hAnsi="Times New Roman" w:eastAsia="方正楷体_GBK" w:cs="Times New Roman"/>
          <w:sz w:val="32"/>
          <w:szCs w:val="32"/>
        </w:rPr>
        <w:t>第十章  扎实推进乡村全面振兴</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_Toc218695863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FA01D70">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"_Toc218695864"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打造特色现代农业产业基地</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_Toc218695864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56</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5C9620F6">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"_Toc218695865"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建设宜居宜业和美乡村</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_Toc218695865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58</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067B5DF4">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"_Toc218695866"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推动农民共享乡村振兴成果</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_Toc218695866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59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5D01249">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"_Toc218695867" </w:instrText>
      </w:r>
      <w:r>
        <w:fldChar w:fldCharType="separate"/>
      </w:r>
      <w:r>
        <w:rPr>
          <w:rFonts w:ascii="Times New Roman" w:hAnsi="Times New Roman" w:eastAsia="方正楷体_GBK" w:cs="Times New Roman"/>
          <w:sz w:val="32"/>
          <w:szCs w:val="32"/>
        </w:rPr>
        <w:t>第十一章  加快发展方式绿色转型</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_Toc218695867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A5A60A5">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"_Toc218695868"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强化生态环境综合治理</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_Toc218695868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60</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583A89E2">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"_Toc218695869"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积极稳妥推进碳达峰</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_Toc218695869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61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58C88B2D">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"_Toc218695870"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形成绿色生产生活方式</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_Toc218695870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63</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09022A7">
      <w:pPr>
        <w:pStyle w:val="21"/>
        <w:rPr>
          <w:rFonts w:ascii="Times New Roman" w:eastAsia="方正黑体_GBK"/>
          <w:sz w:val="32"/>
          <w:szCs w:val="32"/>
        </w:rPr>
      </w:pPr>
      <w:r>
        <w:fldChar w:fldCharType="begin"/>
      </w:r>
      <w:r>
        <w:instrText xml:space="preserve"> HYPERLINK \l "_Toc218695871" </w:instrText>
      </w:r>
      <w:r>
        <w:fldChar w:fldCharType="separate"/>
      </w:r>
      <w:r>
        <w:rPr>
          <w:rFonts w:ascii="Times New Roman" w:eastAsia="方正黑体_GBK"/>
          <w:sz w:val="32"/>
          <w:szCs w:val="32"/>
        </w:rPr>
        <w:t>第六篇  强化互联互通 区域协同提升综合性枢纽能级</w:t>
      </w:r>
      <w:r>
        <w:rPr>
          <w:rFonts w:ascii="Times New Roman" w:eastAsia="方正黑体_GBK"/>
          <w:sz w:val="32"/>
          <w:szCs w:val="32"/>
        </w:rPr>
        <w:tab/>
      </w:r>
      <w:r>
        <w:rPr>
          <w:rFonts w:ascii="Times New Roman" w:eastAsia="方正黑体_GBK"/>
          <w:sz w:val="32"/>
          <w:szCs w:val="32"/>
        </w:rPr>
        <w:fldChar w:fldCharType="begin"/>
      </w:r>
      <w:r>
        <w:rPr>
          <w:rFonts w:ascii="Times New Roman" w:eastAsia="方正黑体_GBK"/>
          <w:sz w:val="32"/>
          <w:szCs w:val="32"/>
        </w:rPr>
        <w:instrText xml:space="preserve"> PAGEREF _Toc218695871 \h </w:instrText>
      </w:r>
      <w:r>
        <w:rPr>
          <w:rFonts w:ascii="Times New Roman" w:eastAsia="方正黑体_GBK"/>
          <w:sz w:val="32"/>
          <w:szCs w:val="32"/>
        </w:rPr>
        <w:fldChar w:fldCharType="separate"/>
      </w:r>
      <w:r>
        <w:rPr>
          <w:rFonts w:ascii="Times New Roman" w:eastAsia="方正黑体_GBK"/>
          <w:sz w:val="32"/>
          <w:szCs w:val="32"/>
        </w:rPr>
        <w:t>65</w:t>
      </w:r>
      <w:r>
        <w:rPr>
          <w:rFonts w:ascii="Times New Roman" w:eastAsia="方正黑体_GBK"/>
          <w:sz w:val="32"/>
          <w:szCs w:val="32"/>
        </w:rPr>
        <w:fldChar w:fldCharType="end"/>
      </w:r>
      <w:r>
        <w:rPr>
          <w:rFonts w:ascii="Times New Roman" w:eastAsia="方正黑体_GBK"/>
          <w:sz w:val="32"/>
          <w:szCs w:val="32"/>
        </w:rPr>
        <w:fldChar w:fldCharType="end"/>
      </w:r>
    </w:p>
    <w:p w14:paraId="548E2A52">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"_Toc218695872" </w:instrText>
      </w:r>
      <w:r>
        <w:fldChar w:fldCharType="separate"/>
      </w:r>
      <w:r>
        <w:rPr>
          <w:rFonts w:ascii="Times New Roman" w:hAnsi="Times New Roman" w:eastAsia="方正楷体_GBK" w:cs="Times New Roman"/>
          <w:sz w:val="32"/>
          <w:szCs w:val="32"/>
        </w:rPr>
        <w:t>第十二章  开辟区域合作新空间</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_Toc218695872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CFA7AD5">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"_Toc218695873"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深入实施融入融合战略</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_Toc218695873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65</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60471E8F">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"_Toc218695874"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探索区域合作发展</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_Toc218695874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66</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36C446B">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"_Toc218695875" </w:instrText>
      </w:r>
      <w:r>
        <w:fldChar w:fldCharType="separate"/>
      </w:r>
      <w:r>
        <w:rPr>
          <w:rFonts w:ascii="Times New Roman" w:hAnsi="Times New Roman" w:eastAsia="方正楷体_GBK" w:cs="Times New Roman"/>
          <w:sz w:val="32"/>
          <w:szCs w:val="32"/>
        </w:rPr>
        <w:t>第十三章  夯实枢纽经济发展基础</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_Toc218695875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B898900">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"_Toc218695876"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优先衔接主干交通网</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_Toc218695876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67</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36598D75">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"_Toc218695877"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推动联河通江发展</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_Toc218695877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68</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4948DC8">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"_Toc218695878"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提升枢纽经济发展水平</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_Toc218695878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69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210080C">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"_Toc218695879" </w:instrText>
      </w:r>
      <w:r>
        <w:fldChar w:fldCharType="separate"/>
      </w:r>
      <w:r>
        <w:rPr>
          <w:rFonts w:ascii="Times New Roman" w:hAnsi="Times New Roman" w:eastAsia="方正楷体_GBK" w:cs="Times New Roman"/>
          <w:sz w:val="32"/>
          <w:szCs w:val="32"/>
        </w:rPr>
        <w:t>第十四章  打造新型智慧县域样板</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_Toc218695879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C119EC1">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"_Toc218695880"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构建制造业数智化生态</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_Toc218695880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71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B044F9D">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"_Toc218695881"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推进数实融合深度发展</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_Toc218695881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71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6F6F43D3">
      <w:pPr>
        <w:pStyle w:val="21"/>
        <w:rPr>
          <w:rFonts w:ascii="Times New Roman" w:eastAsia="方正黑体_GBK"/>
          <w:sz w:val="32"/>
          <w:szCs w:val="32"/>
        </w:rPr>
      </w:pPr>
      <w:r>
        <w:fldChar w:fldCharType="begin"/>
      </w:r>
      <w:r>
        <w:instrText xml:space="preserve"> HYPERLINK \l "_Toc218695882" </w:instrText>
      </w:r>
      <w:r>
        <w:fldChar w:fldCharType="separate"/>
      </w:r>
      <w:r>
        <w:rPr>
          <w:rFonts w:ascii="Times New Roman" w:eastAsia="方正黑体_GBK"/>
          <w:sz w:val="32"/>
          <w:szCs w:val="32"/>
        </w:rPr>
        <w:t>第七篇  厚植民生福祉 普惠共享建设新时代荷美田园</w:t>
      </w:r>
      <w:r>
        <w:rPr>
          <w:rFonts w:ascii="Times New Roman" w:eastAsia="方正黑体_GBK"/>
          <w:sz w:val="32"/>
          <w:szCs w:val="32"/>
        </w:rPr>
        <w:tab/>
      </w:r>
      <w:r>
        <w:rPr>
          <w:rFonts w:ascii="Times New Roman" w:eastAsia="方正黑体_GBK"/>
          <w:sz w:val="32"/>
          <w:szCs w:val="32"/>
        </w:rPr>
        <w:fldChar w:fldCharType="begin"/>
      </w:r>
      <w:r>
        <w:rPr>
          <w:rFonts w:ascii="Times New Roman" w:eastAsia="方正黑体_GBK"/>
          <w:sz w:val="32"/>
          <w:szCs w:val="32"/>
        </w:rPr>
        <w:instrText xml:space="preserve"> PAGEREF _Toc218695882 \h </w:instrText>
      </w:r>
      <w:r>
        <w:rPr>
          <w:rFonts w:ascii="Times New Roman" w:eastAsia="方正黑体_GBK"/>
          <w:sz w:val="32"/>
          <w:szCs w:val="32"/>
        </w:rPr>
        <w:fldChar w:fldCharType="separate"/>
      </w:r>
      <w:r>
        <w:rPr>
          <w:rFonts w:ascii="Times New Roman" w:eastAsia="方正黑体_GBK"/>
          <w:sz w:val="32"/>
          <w:szCs w:val="32"/>
        </w:rPr>
        <w:t>74</w:t>
      </w:r>
      <w:r>
        <w:rPr>
          <w:rFonts w:ascii="Times New Roman" w:eastAsia="方正黑体_GBK"/>
          <w:sz w:val="32"/>
          <w:szCs w:val="32"/>
        </w:rPr>
        <w:fldChar w:fldCharType="end"/>
      </w:r>
      <w:r>
        <w:rPr>
          <w:rFonts w:ascii="Times New Roman" w:eastAsia="方正黑体_GBK"/>
          <w:sz w:val="32"/>
          <w:szCs w:val="32"/>
        </w:rPr>
        <w:fldChar w:fldCharType="end"/>
      </w:r>
    </w:p>
    <w:p w14:paraId="1A89F75B">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"_Toc218695883" </w:instrText>
      </w:r>
      <w:r>
        <w:fldChar w:fldCharType="separate"/>
      </w:r>
      <w:r>
        <w:rPr>
          <w:rFonts w:ascii="Times New Roman" w:hAnsi="Times New Roman" w:eastAsia="方正楷体_GBK" w:cs="Times New Roman"/>
          <w:sz w:val="32"/>
          <w:szCs w:val="32"/>
        </w:rPr>
        <w:t>第十五章  深入实施就业优先战略</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_Toc218695883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9E321B8">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"_Toc218695884"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促进高质量充分就业</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_Toc218695884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74</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59916A81">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"_Toc218695885"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持续推进富民增收</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_Toc218695885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75</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3AAFCED3">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"_Toc218695886" </w:instrText>
      </w:r>
      <w:r>
        <w:fldChar w:fldCharType="separate"/>
      </w:r>
      <w:r>
        <w:rPr>
          <w:rFonts w:ascii="Times New Roman" w:hAnsi="Times New Roman" w:eastAsia="方正楷体_GBK" w:cs="Times New Roman"/>
          <w:sz w:val="32"/>
          <w:szCs w:val="32"/>
        </w:rPr>
        <w:t>第十六章  健全多层次社会保障体系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_Toc218695886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59E4714">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"_Toc218695887"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增强社会保障普惠性</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_Toc218695887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76</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4197640">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"_Toc218695888"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强化基本公共服务保障</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_Toc218695888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78</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FDA40A0">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"_Toc218695889" </w:instrText>
      </w:r>
      <w:r>
        <w:fldChar w:fldCharType="separate"/>
      </w:r>
      <w:r>
        <w:rPr>
          <w:rFonts w:ascii="Times New Roman" w:hAnsi="Times New Roman" w:eastAsia="方正楷体_GBK" w:cs="Times New Roman"/>
          <w:sz w:val="32"/>
          <w:szCs w:val="32"/>
        </w:rPr>
        <w:t>第十七章  丰富群众精神文化生活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_Toc218695889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2EE2FFC">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"_Toc218695890"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弘扬和践行社会主义核心价值观</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_Toc218695890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79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36B3CC1C">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"_Toc218695891"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大力推进文化事业繁荣</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_Toc218695891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80</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AAA27DD">
      <w:pPr>
        <w:pStyle w:val="21"/>
        <w:rPr>
          <w:rFonts w:ascii="Times New Roman" w:eastAsia="方正黑体_GBK"/>
          <w:sz w:val="32"/>
          <w:szCs w:val="32"/>
        </w:rPr>
      </w:pPr>
      <w:r>
        <w:fldChar w:fldCharType="begin"/>
      </w:r>
      <w:r>
        <w:instrText xml:space="preserve"> HYPERLINK \l "_Toc218695892" </w:instrText>
      </w:r>
      <w:r>
        <w:fldChar w:fldCharType="separate"/>
      </w:r>
      <w:r>
        <w:rPr>
          <w:rFonts w:ascii="Times New Roman" w:eastAsia="方正黑体_GBK"/>
          <w:sz w:val="32"/>
          <w:szCs w:val="32"/>
        </w:rPr>
        <w:t>第八篇  提升人口素质 均衡发展构建全龄友好型城市</w:t>
      </w:r>
      <w:r>
        <w:rPr>
          <w:rFonts w:ascii="Times New Roman" w:eastAsia="方正黑体_GBK"/>
          <w:sz w:val="32"/>
          <w:szCs w:val="32"/>
        </w:rPr>
        <w:tab/>
      </w:r>
      <w:r>
        <w:rPr>
          <w:rFonts w:ascii="Times New Roman" w:eastAsia="方正黑体_GBK"/>
          <w:sz w:val="32"/>
          <w:szCs w:val="32"/>
        </w:rPr>
        <w:fldChar w:fldCharType="begin"/>
      </w:r>
      <w:r>
        <w:rPr>
          <w:rFonts w:ascii="Times New Roman" w:eastAsia="方正黑体_GBK"/>
          <w:sz w:val="32"/>
          <w:szCs w:val="32"/>
        </w:rPr>
        <w:instrText xml:space="preserve"> PAGEREF _Toc218695892 \h </w:instrText>
      </w:r>
      <w:r>
        <w:rPr>
          <w:rFonts w:ascii="Times New Roman" w:eastAsia="方正黑体_GBK"/>
          <w:sz w:val="32"/>
          <w:szCs w:val="32"/>
        </w:rPr>
        <w:fldChar w:fldCharType="separate"/>
      </w:r>
      <w:r>
        <w:rPr>
          <w:rFonts w:ascii="Times New Roman" w:eastAsia="方正黑体_GBK"/>
          <w:sz w:val="32"/>
          <w:szCs w:val="32"/>
        </w:rPr>
        <w:t>82</w:t>
      </w:r>
      <w:r>
        <w:rPr>
          <w:rFonts w:ascii="Times New Roman" w:eastAsia="方正黑体_GBK"/>
          <w:sz w:val="32"/>
          <w:szCs w:val="32"/>
        </w:rPr>
        <w:fldChar w:fldCharType="end"/>
      </w:r>
      <w:r>
        <w:rPr>
          <w:rFonts w:ascii="Times New Roman" w:eastAsia="方正黑体_GBK"/>
          <w:sz w:val="32"/>
          <w:szCs w:val="32"/>
        </w:rPr>
        <w:fldChar w:fldCharType="end"/>
      </w:r>
    </w:p>
    <w:p w14:paraId="5CC80D05">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"_Toc218695893" </w:instrText>
      </w:r>
      <w:r>
        <w:fldChar w:fldCharType="separate"/>
      </w:r>
      <w:r>
        <w:rPr>
          <w:rFonts w:ascii="Times New Roman" w:hAnsi="Times New Roman" w:eastAsia="方正楷体_GBK" w:cs="Times New Roman"/>
          <w:sz w:val="32"/>
          <w:szCs w:val="32"/>
        </w:rPr>
        <w:t>第十八章  办好人民满意的教育</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_Toc218695893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1A85A74">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"_Toc218695894"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推动基础教育优质均衡发展</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_Toc218695894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82</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32A2BB41">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"_Toc218695895"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增强职业教育服务发展能力</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_Toc218695895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83</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7F67F69">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"_Toc218695896" </w:instrText>
      </w:r>
      <w:r>
        <w:fldChar w:fldCharType="separate"/>
      </w:r>
      <w:r>
        <w:rPr>
          <w:rFonts w:ascii="Times New Roman" w:hAnsi="Times New Roman" w:eastAsia="方正楷体_GBK" w:cs="Times New Roman"/>
          <w:sz w:val="32"/>
          <w:szCs w:val="32"/>
        </w:rPr>
        <w:t>第十九章  持续推进健康金湖建设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_Toc218695896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682B979">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"_Toc218695897"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构建现代医疗卫生服务体系</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_Toc218695897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85</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50121C61">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"_Toc218695898"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提供优质高效卫生健康服务</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_Toc218695898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85</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61D7870F">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"_Toc218695899"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深入开展全民健身运动</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_Toc218695899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87</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46531C7">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"_Toc218695900" </w:instrText>
      </w:r>
      <w:r>
        <w:fldChar w:fldCharType="separate"/>
      </w:r>
      <w:r>
        <w:rPr>
          <w:rFonts w:ascii="Times New Roman" w:hAnsi="Times New Roman" w:eastAsia="方正楷体_GBK" w:cs="Times New Roman"/>
          <w:sz w:val="32"/>
          <w:szCs w:val="32"/>
        </w:rPr>
        <w:t>第二十章  优化县域人口格局</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_Toc218695900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9336546">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"_Toc218695901"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增强人口发展与服务能力</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_Toc218695901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88</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23C1214C">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"_Toc218695902"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健全生育支持政策</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_Toc218695902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89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327258B">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"_Toc218695903"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积极应对人口老龄化</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_Toc218695903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89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FD82388">
      <w:pPr>
        <w:pStyle w:val="21"/>
        <w:rPr>
          <w:rFonts w:ascii="Times New Roman" w:eastAsia="方正黑体_GBK"/>
          <w:sz w:val="32"/>
          <w:szCs w:val="32"/>
        </w:rPr>
      </w:pPr>
      <w:r>
        <w:fldChar w:fldCharType="begin"/>
      </w:r>
      <w:r>
        <w:instrText xml:space="preserve"> HYPERLINK \l "_Toc218695904" </w:instrText>
      </w:r>
      <w:r>
        <w:fldChar w:fldCharType="separate"/>
      </w:r>
      <w:r>
        <w:rPr>
          <w:rFonts w:ascii="Times New Roman" w:eastAsia="方正黑体_GBK"/>
          <w:sz w:val="32"/>
          <w:szCs w:val="32"/>
        </w:rPr>
        <w:t>第九篇  筑牢安全基石 系统治理护航全域性平安金湖</w:t>
      </w:r>
      <w:r>
        <w:rPr>
          <w:rFonts w:ascii="Times New Roman" w:eastAsia="方正黑体_GBK"/>
          <w:sz w:val="32"/>
          <w:szCs w:val="32"/>
        </w:rPr>
        <w:tab/>
      </w:r>
      <w:r>
        <w:rPr>
          <w:rFonts w:ascii="Times New Roman" w:eastAsia="方正黑体_GBK"/>
          <w:sz w:val="32"/>
          <w:szCs w:val="32"/>
        </w:rPr>
        <w:fldChar w:fldCharType="begin"/>
      </w:r>
      <w:r>
        <w:rPr>
          <w:rFonts w:ascii="Times New Roman" w:eastAsia="方正黑体_GBK"/>
          <w:sz w:val="32"/>
          <w:szCs w:val="32"/>
        </w:rPr>
        <w:instrText xml:space="preserve"> PAGEREF _Toc218695904 \h </w:instrText>
      </w:r>
      <w:r>
        <w:rPr>
          <w:rFonts w:ascii="Times New Roman" w:eastAsia="方正黑体_GBK"/>
          <w:sz w:val="32"/>
          <w:szCs w:val="32"/>
        </w:rPr>
        <w:fldChar w:fldCharType="separate"/>
      </w:r>
      <w:r>
        <w:rPr>
          <w:rFonts w:ascii="Times New Roman" w:eastAsia="方正黑体_GBK"/>
          <w:sz w:val="32"/>
          <w:szCs w:val="32"/>
        </w:rPr>
        <w:t>91</w:t>
      </w:r>
      <w:r>
        <w:rPr>
          <w:rFonts w:ascii="Times New Roman" w:eastAsia="方正黑体_GBK"/>
          <w:sz w:val="32"/>
          <w:szCs w:val="32"/>
        </w:rPr>
        <w:fldChar w:fldCharType="end"/>
      </w:r>
      <w:r>
        <w:rPr>
          <w:rFonts w:ascii="Times New Roman" w:eastAsia="方正黑体_GBK"/>
          <w:sz w:val="32"/>
          <w:szCs w:val="32"/>
        </w:rPr>
        <w:fldChar w:fldCharType="end"/>
      </w:r>
    </w:p>
    <w:p w14:paraId="31D7F0AC">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"_Toc218695905" </w:instrText>
      </w:r>
      <w:r>
        <w:fldChar w:fldCharType="separate"/>
      </w:r>
      <w:r>
        <w:rPr>
          <w:rFonts w:ascii="Times New Roman" w:hAnsi="Times New Roman" w:eastAsia="方正楷体_GBK" w:cs="Times New Roman"/>
          <w:sz w:val="32"/>
          <w:szCs w:val="32"/>
        </w:rPr>
        <w:t>第二十一章  增强经济安全韧性</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_Toc218695905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438CF46">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"_Toc218695906"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保障粮食和能源资源安全</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_Toc218695906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91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527493A2">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"_Toc218695907"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防范化解重点领域风险</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_Toc218695907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92</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5D509A92">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"_Toc218695908" </w:instrText>
      </w:r>
      <w:r>
        <w:fldChar w:fldCharType="separate"/>
      </w:r>
      <w:r>
        <w:rPr>
          <w:rFonts w:ascii="Times New Roman" w:hAnsi="Times New Roman" w:eastAsia="方正楷体_GBK" w:cs="Times New Roman"/>
          <w:sz w:val="32"/>
          <w:szCs w:val="32"/>
        </w:rPr>
        <w:t>第二十二章  提升公共安全治理水平</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_Toc218695908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846C261">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"_Toc218695909"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完善应急管理体系和能力</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_Toc218695909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93</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D9C004B">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"_Toc218695910"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增强公共安全保障能力</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_Toc218695910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94</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4C41D3A">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"_Toc218695911" </w:instrText>
      </w:r>
      <w:r>
        <w:fldChar w:fldCharType="separate"/>
      </w:r>
      <w:r>
        <w:rPr>
          <w:rFonts w:ascii="Times New Roman" w:hAnsi="Times New Roman" w:eastAsia="方正楷体_GBK" w:cs="Times New Roman"/>
          <w:sz w:val="32"/>
          <w:szCs w:val="32"/>
        </w:rPr>
        <w:t>第二十三章  推进社会治理现代化</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_Toc218695911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2A22E10">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"_Toc218695912"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推进民主法治建设</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_Toc218695912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96</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2CDD62F">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"_Toc218695913"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夯实基层治理根基</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_Toc218695913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97</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6D9E8FA7">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"_Toc218695914"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强化社会信用建设</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_Toc218695914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99</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76F9FDEA">
      <w:pPr>
        <w:pStyle w:val="21"/>
        <w:rPr>
          <w:rFonts w:ascii="Times New Roman" w:eastAsia="方正黑体_GBK"/>
          <w:sz w:val="32"/>
          <w:szCs w:val="32"/>
        </w:rPr>
      </w:pPr>
      <w:r>
        <w:fldChar w:fldCharType="begin"/>
      </w:r>
      <w:r>
        <w:instrText xml:space="preserve"> HYPERLINK \l "_Toc218695915" </w:instrText>
      </w:r>
      <w:r>
        <w:fldChar w:fldCharType="separate"/>
      </w:r>
      <w:r>
        <w:rPr>
          <w:rFonts w:ascii="Times New Roman" w:eastAsia="方正黑体_GBK"/>
          <w:sz w:val="32"/>
          <w:szCs w:val="32"/>
        </w:rPr>
        <w:t>第十篇  凝聚奋进力量 强化保障支撑战略性谋划落地</w:t>
      </w:r>
      <w:r>
        <w:rPr>
          <w:rFonts w:ascii="Times New Roman" w:eastAsia="方正黑体_GBK"/>
          <w:sz w:val="32"/>
          <w:szCs w:val="32"/>
        </w:rPr>
        <w:tab/>
      </w:r>
      <w:r>
        <w:rPr>
          <w:rFonts w:ascii="Times New Roman" w:eastAsia="方正黑体_GBK"/>
          <w:sz w:val="32"/>
          <w:szCs w:val="32"/>
        </w:rPr>
        <w:fldChar w:fldCharType="begin"/>
      </w:r>
      <w:r>
        <w:rPr>
          <w:rFonts w:ascii="Times New Roman" w:eastAsia="方正黑体_GBK"/>
          <w:sz w:val="32"/>
          <w:szCs w:val="32"/>
        </w:rPr>
        <w:instrText xml:space="preserve"> PAGEREF _Toc218695915 \h </w:instrText>
      </w:r>
      <w:r>
        <w:rPr>
          <w:rFonts w:ascii="Times New Roman" w:eastAsia="方正黑体_GBK"/>
          <w:sz w:val="32"/>
          <w:szCs w:val="32"/>
        </w:rPr>
        <w:fldChar w:fldCharType="separate"/>
      </w:r>
      <w:r>
        <w:rPr>
          <w:rFonts w:ascii="Times New Roman" w:eastAsia="方正黑体_GBK"/>
          <w:sz w:val="32"/>
          <w:szCs w:val="32"/>
        </w:rPr>
        <w:t>100</w:t>
      </w:r>
      <w:r>
        <w:rPr>
          <w:rFonts w:ascii="Times New Roman" w:eastAsia="方正黑体_GBK"/>
          <w:sz w:val="32"/>
          <w:szCs w:val="32"/>
        </w:rPr>
        <w:fldChar w:fldCharType="end"/>
      </w:r>
      <w:r>
        <w:rPr>
          <w:rFonts w:ascii="Times New Roman" w:eastAsia="方正黑体_GBK"/>
          <w:sz w:val="32"/>
          <w:szCs w:val="32"/>
        </w:rPr>
        <w:fldChar w:fldCharType="end"/>
      </w:r>
    </w:p>
    <w:p w14:paraId="6F8EEAC6">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"_Toc218695916" </w:instrText>
      </w:r>
      <w:r>
        <w:fldChar w:fldCharType="separate"/>
      </w:r>
      <w:r>
        <w:rPr>
          <w:rFonts w:ascii="Times New Roman" w:hAnsi="Times New Roman" w:eastAsia="方正楷体_GBK" w:cs="Times New Roman"/>
          <w:sz w:val="32"/>
          <w:szCs w:val="32"/>
        </w:rPr>
        <w:t>第二十四章  加强党的全面领导</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_Toc218695916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8D19601">
      <w:pPr>
        <w:pStyle w:val="25"/>
        <w:tabs>
          <w:tab w:val="right" w:leader="dot" w:pos="8948"/>
        </w:tabs>
        <w:spacing w:line="560" w:lineRule="exact"/>
        <w:rPr>
          <w:rFonts w:ascii="Times New Roman" w:hAnsi="Times New Roman" w:eastAsia="方正楷体_GBK" w:cs="Times New Roman"/>
          <w:sz w:val="32"/>
          <w:szCs w:val="32"/>
        </w:rPr>
      </w:pPr>
      <w:r>
        <w:fldChar w:fldCharType="begin"/>
      </w:r>
      <w:r>
        <w:instrText xml:space="preserve"> HYPERLINK \l "_Toc218695917" </w:instrText>
      </w:r>
      <w:r>
        <w:fldChar w:fldCharType="separate"/>
      </w:r>
      <w:r>
        <w:rPr>
          <w:rFonts w:ascii="Times New Roman" w:hAnsi="Times New Roman" w:eastAsia="方正楷体_GBK" w:cs="Times New Roman"/>
          <w:sz w:val="32"/>
          <w:szCs w:val="32"/>
        </w:rPr>
        <w:t>第二十五章  推进规划落地生效</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_Toc218695917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B7489BD">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"_Toc218695918"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第一节  健全规划实施机制</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_Toc218695918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100</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0D50EA6">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"_Toc218695919"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第二节  强化政策和要素协同保障</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_Toc218695919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101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489FBADD">
      <w:pPr>
        <w:pStyle w:val="17"/>
        <w:tabs>
          <w:tab w:val="right" w:leader="dot" w:pos="8948"/>
        </w:tabs>
        <w:spacing w:line="560" w:lineRule="exact"/>
        <w:rPr>
          <w:rStyle w:val="34"/>
          <w:rFonts w:ascii="Times New Roman" w:hAnsi="Times New Roman" w:eastAsia="方正仿宋_GBK" w:cs="Times New Roman"/>
          <w:color w:val="000000" w:themeColor="text1"/>
          <w:kern w:val="0"/>
          <w:sz w:val="32"/>
          <w:szCs w:val="32"/>
          <w14:textFill>
            <w14:solidFill>
              <w14:schemeClr w14:val="tx1"/>
            </w14:solidFill>
          </w14:textFill>
        </w:rPr>
      </w:pPr>
      <w:r>
        <w:fldChar w:fldCharType="begin"/>
      </w:r>
      <w:r>
        <w:instrText xml:space="preserve"> HYPERLINK \l "_Toc218695920" </w:instrText>
      </w:r>
      <w: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第三节  凝聚社会力量广泛参与</w:t>
      </w:r>
      <w:r>
        <w:rPr>
          <w:rStyle w:val="34"/>
          <w:rFonts w:ascii="Times New Roman" w:hAnsi="Times New Roman" w:eastAsia="方正仿宋_GBK" w:cs="Times New Roman"/>
          <w:color w:val="000000" w:themeColor="text1"/>
          <w:kern w:val="0"/>
          <w:sz w:val="32"/>
          <w:szCs w:val="32"/>
          <w14:textFill>
            <w14:solidFill>
              <w14:schemeClr w14:val="tx1"/>
            </w14:solidFill>
          </w14:textFill>
        </w:rPr>
        <w:tab/>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begin"/>
      </w:r>
      <w:r>
        <w:rPr>
          <w:rStyle w:val="34"/>
          <w:rFonts w:ascii="Times New Roman" w:hAnsi="Times New Roman" w:eastAsia="方正仿宋_GBK" w:cs="Times New Roman"/>
          <w:color w:val="000000" w:themeColor="text1"/>
          <w:kern w:val="0"/>
          <w:sz w:val="32"/>
          <w:szCs w:val="32"/>
          <w14:textFill>
            <w14:solidFill>
              <w14:schemeClr w14:val="tx1"/>
            </w14:solidFill>
          </w14:textFill>
        </w:rPr>
        <w:instrText xml:space="preserve"> PAGEREF _Toc218695920 \h </w:instrTex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separate"/>
      </w:r>
      <w:r>
        <w:rPr>
          <w:rStyle w:val="34"/>
          <w:rFonts w:ascii="Times New Roman" w:hAnsi="Times New Roman" w:eastAsia="方正仿宋_GBK" w:cs="Times New Roman"/>
          <w:color w:val="000000" w:themeColor="text1"/>
          <w:kern w:val="0"/>
          <w:sz w:val="32"/>
          <w:szCs w:val="32"/>
          <w14:textFill>
            <w14:solidFill>
              <w14:schemeClr w14:val="tx1"/>
            </w14:solidFill>
          </w14:textFill>
        </w:rPr>
        <w:t>101</w:t>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32D091D8">
      <w:pPr>
        <w:pStyle w:val="17"/>
        <w:tabs>
          <w:tab w:val="right" w:leader="dot" w:pos="8948"/>
        </w:tabs>
        <w:spacing w:line="560" w:lineRule="exact"/>
        <w:rPr>
          <w:rFonts w:ascii="Times New Roman" w:hAnsi="Times New Roman" w:eastAsia="方正仿宋_GBK" w:cs="Times New Roman"/>
          <w:color w:val="000000" w:themeColor="text1"/>
          <w:sz w:val="32"/>
          <w:szCs w:val="32"/>
          <w14:textFill>
            <w14:solidFill>
              <w14:schemeClr w14:val="tx1"/>
            </w14:solidFill>
          </w14:textFill>
        </w:rPr>
      </w:pPr>
      <w:r>
        <w:rPr>
          <w:rStyle w:val="34"/>
          <w:rFonts w:ascii="Times New Roman" w:hAnsi="Times New Roman" w:eastAsia="方正仿宋_GBK" w:cs="Times New Roman"/>
          <w:color w:val="000000" w:themeColor="text1"/>
          <w:kern w:val="0"/>
          <w:sz w:val="32"/>
          <w:szCs w:val="32"/>
          <w14:textFill>
            <w14:solidFill>
              <w14:schemeClr w14:val="tx1"/>
            </w14:solidFill>
          </w14:textFill>
        </w:rPr>
        <w:fldChar w:fldCharType="end"/>
      </w:r>
    </w:p>
    <w:p w14:paraId="0677D1FB">
      <w:pPr>
        <w:spacing w:line="500" w:lineRule="exact"/>
        <w:jc w:val="center"/>
        <w:rPr>
          <w:rFonts w:ascii="Times New Roman" w:hAnsi="Times New Roman" w:eastAsia="方正小标宋_GBK" w:cs="Times New Roman"/>
          <w:color w:val="000000" w:themeColor="text1"/>
          <w:sz w:val="28"/>
          <w:szCs w:val="28"/>
          <w14:textFill>
            <w14:solidFill>
              <w14:schemeClr w14:val="tx1"/>
            </w14:solidFill>
          </w14:textFill>
        </w:rPr>
      </w:pPr>
    </w:p>
    <w:p w14:paraId="3DBF3ABD">
      <w:pPr>
        <w:spacing w:line="500" w:lineRule="exact"/>
        <w:jc w:val="center"/>
        <w:rPr>
          <w:rFonts w:ascii="Times New Roman" w:hAnsi="Times New Roman" w:eastAsia="方正小标宋_GBK" w:cs="Times New Roman"/>
          <w:color w:val="000000" w:themeColor="text1"/>
          <w:sz w:val="28"/>
          <w:szCs w:val="28"/>
          <w14:textFill>
            <w14:solidFill>
              <w14:schemeClr w14:val="tx1"/>
            </w14:solidFill>
          </w14:textFill>
        </w:rPr>
      </w:pPr>
    </w:p>
    <w:p w14:paraId="6C3D331C">
      <w:pPr>
        <w:spacing w:line="500" w:lineRule="exact"/>
        <w:jc w:val="center"/>
        <w:rPr>
          <w:rFonts w:ascii="Times New Roman" w:hAnsi="Times New Roman" w:eastAsia="方正小标宋_GBK" w:cs="Times New Roman"/>
          <w:color w:val="000000" w:themeColor="text1"/>
          <w:sz w:val="28"/>
          <w:szCs w:val="28"/>
          <w14:textFill>
            <w14:solidFill>
              <w14:schemeClr w14:val="tx1"/>
            </w14:solidFill>
          </w14:textFill>
        </w:rPr>
      </w:pPr>
    </w:p>
    <w:p w14:paraId="02DE99D5">
      <w:pPr>
        <w:spacing w:line="500" w:lineRule="exact"/>
        <w:jc w:val="center"/>
        <w:rPr>
          <w:rFonts w:ascii="Times New Roman" w:hAnsi="Times New Roman" w:eastAsia="方正楷体_GBK" w:cs="Times New Roman"/>
          <w:color w:val="000000" w:themeColor="text1"/>
          <w:sz w:val="32"/>
          <w:szCs w:val="32"/>
          <w14:textFill>
            <w14:solidFill>
              <w14:schemeClr w14:val="tx1"/>
            </w14:solidFill>
          </w14:textFill>
        </w:rPr>
      </w:pPr>
    </w:p>
    <w:p w14:paraId="30C04025">
      <w:pPr>
        <w:pStyle w:val="29"/>
        <w:spacing w:after="0" w:line="587" w:lineRule="exact"/>
        <w:ind w:firstLine="720"/>
        <w:rPr>
          <w:rFonts w:ascii="Times New Roman" w:hAnsi="Times New Roman" w:eastAsia="方正小标宋_GBK" w:cs="Times New Roman"/>
          <w:color w:val="000000" w:themeColor="text1"/>
          <w:sz w:val="36"/>
          <w:szCs w:val="36"/>
          <w14:textFill>
            <w14:solidFill>
              <w14:schemeClr w14:val="tx1"/>
            </w14:solidFill>
          </w14:textFill>
        </w:rPr>
        <w:sectPr>
          <w:footerReference r:id="rId17" w:type="first"/>
          <w:footerReference r:id="rId15" w:type="default"/>
          <w:footerReference r:id="rId16" w:type="even"/>
          <w:pgSz w:w="11906" w:h="16838"/>
          <w:pgMar w:top="1928" w:right="1474" w:bottom="1928" w:left="1474" w:header="964" w:footer="1020" w:gutter="0"/>
          <w:pgNumType w:fmt="upperRoman" w:start="1"/>
          <w:cols w:space="425" w:num="1"/>
          <w:docGrid w:type="lines" w:linePitch="312" w:charSpace="0"/>
        </w:sectPr>
      </w:pPr>
    </w:p>
    <w:bookmarkEnd w:id="0"/>
    <w:bookmarkEnd w:id="1"/>
    <w:p w14:paraId="5A699506">
      <w:pPr>
        <w:keepNext/>
        <w:widowControl/>
        <w:spacing w:line="700" w:lineRule="exact"/>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bookmarkStart w:id="4" w:name="_Toc218695820"/>
      <w:bookmarkStart w:id="5" w:name="_Toc214978084"/>
      <w:r>
        <w:rPr>
          <w:rFonts w:ascii="Times New Roman" w:hAnsi="Times New Roman" w:eastAsia="方正小标宋_GBK" w:cs="Times New Roman"/>
          <w:color w:val="000000" w:themeColor="text1"/>
          <w:sz w:val="44"/>
          <w:szCs w:val="44"/>
          <w14:textFill>
            <w14:solidFill>
              <w14:schemeClr w14:val="tx1"/>
            </w14:solidFill>
          </w14:textFill>
        </w:rPr>
        <w:t>序  言</w:t>
      </w:r>
      <w:bookmarkEnd w:id="4"/>
      <w:bookmarkEnd w:id="5"/>
    </w:p>
    <w:p w14:paraId="1F86DFE6">
      <w:pPr>
        <w:pStyle w:val="29"/>
        <w:spacing w:after="0" w:line="587" w:lineRule="exact"/>
        <w:ind w:left="0" w:leftChars="0"/>
        <w:rPr>
          <w:rFonts w:ascii="Times New Roman" w:hAnsi="Times New Roman" w:cs="Times New Roman"/>
          <w:color w:val="000000" w:themeColor="text1"/>
          <w14:textFill>
            <w14:solidFill>
              <w14:schemeClr w14:val="tx1"/>
            </w14:solidFill>
          </w14:textFill>
        </w:rPr>
      </w:pPr>
    </w:p>
    <w:p w14:paraId="1448306E">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十五五”时期，是我国基本实现社会主义现代化夯实基础、全面发力的关键时期，是江苏省推进中国式现代化新实践取得决定性进展的关键时期，也是淮安市走好现代化经济建设“三步走”策略的“第二步”、全面建设长三角北部现代化中心城市、更好展示“象征意义”的关键时期，更是金湖县奋力打造“长三角智造金谷、现代化水韵湖城、新时代荷美田园”的攀高时期。金湖县必须把握新的历史机遇，继往开来，乘势而上，进一步凝聚和调动全县广大党员和干部群众的积极性、创造性，为奋力谱写中国式现代化金湖实践新篇章而努力奋斗。</w:t>
      </w:r>
    </w:p>
    <w:p w14:paraId="3076B671">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金湖县国民经济和社会发展第十五个五年规划纲要》根据中央、省市县委关于制定国民经济和社会发展第十五个五年规划的建议编制，重点阐明我县未来五年经济社会发展的指导思想、主要目标、重点任务、政策措施，是政府科学施政、正确履行公共服务职能的重要依据，是引导市场主体行为的重要参考，是引领全县人民共同奋斗的宏伟蓝图和行动纲领。因此，高站位、高标准谋划好金湖县“十五五”期间的工作意义深远。</w:t>
      </w:r>
      <w:bookmarkStart w:id="6" w:name="_Toc68610422"/>
      <w:bookmarkStart w:id="7" w:name="_Toc213057385"/>
      <w:bookmarkStart w:id="8" w:name="_Toc214978085"/>
    </w:p>
    <w:p w14:paraId="5541D5A8">
      <w:pPr>
        <w:spacing w:line="587"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p>
    <w:p w14:paraId="59AE683E">
      <w:pPr>
        <w:spacing w:line="587"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p>
    <w:p w14:paraId="79139EB6">
      <w:pPr>
        <w:pStyle w:val="29"/>
        <w:rPr>
          <w:rFonts w:ascii="Times New Roman" w:hAnsi="Times New Roman" w:cs="Times New Roman"/>
        </w:rPr>
      </w:pPr>
    </w:p>
    <w:p w14:paraId="296FF776">
      <w:pPr>
        <w:rPr>
          <w:rFonts w:ascii="Times New Roman" w:hAnsi="Times New Roman" w:cs="Times New Roman"/>
        </w:rPr>
      </w:pPr>
    </w:p>
    <w:p w14:paraId="12E2070A">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bookmarkStart w:id="9" w:name="_Toc218695821"/>
      <w:r>
        <w:rPr>
          <w:rFonts w:ascii="Times New Roman" w:hAnsi="Times New Roman" w:eastAsia="方正小标宋_GBK" w:cs="Times New Roman"/>
          <w:color w:val="000000" w:themeColor="text1"/>
          <w:sz w:val="36"/>
          <w:szCs w:val="36"/>
          <w14:textFill>
            <w14:solidFill>
              <w14:schemeClr w14:val="tx1"/>
            </w14:solidFill>
          </w14:textFill>
        </w:rPr>
        <w:t xml:space="preserve">第一篇  </w:t>
      </w:r>
      <w:bookmarkEnd w:id="6"/>
      <w:bookmarkEnd w:id="7"/>
      <w:bookmarkEnd w:id="8"/>
      <w:r>
        <w:rPr>
          <w:rFonts w:ascii="Times New Roman" w:hAnsi="Times New Roman" w:eastAsia="方正小标宋_GBK" w:cs="Times New Roman"/>
          <w:color w:val="000000" w:themeColor="text1"/>
          <w:sz w:val="36"/>
          <w:szCs w:val="36"/>
          <w14:textFill>
            <w14:solidFill>
              <w14:schemeClr w14:val="tx1"/>
            </w14:solidFill>
          </w14:textFill>
        </w:rPr>
        <w:t>把准时代方位 系统谋划擘画高质量发展蓝图</w:t>
      </w:r>
      <w:bookmarkEnd w:id="9"/>
    </w:p>
    <w:p w14:paraId="70C0326A">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bookmarkStart w:id="10" w:name="_Toc2084127762"/>
      <w:bookmarkStart w:id="11" w:name="_Toc213057386"/>
      <w:bookmarkStart w:id="12" w:name="_Toc218695822"/>
      <w:bookmarkStart w:id="13" w:name="_Toc214978086"/>
    </w:p>
    <w:p w14:paraId="0434CF6C">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 xml:space="preserve">第一章  </w:t>
      </w:r>
      <w:bookmarkEnd w:id="10"/>
      <w:r>
        <w:rPr>
          <w:rFonts w:ascii="Times New Roman" w:hAnsi="Times New Roman" w:eastAsia="方正黑体_GBK" w:cs="Times New Roman"/>
          <w:color w:val="000000" w:themeColor="text1"/>
          <w:kern w:val="0"/>
          <w:sz w:val="32"/>
          <w:szCs w:val="32"/>
          <w14:textFill>
            <w14:solidFill>
              <w14:schemeClr w14:val="tx1"/>
            </w14:solidFill>
          </w14:textFill>
        </w:rPr>
        <w:t>发展基础与宏观形势</w:t>
      </w:r>
      <w:bookmarkEnd w:id="11"/>
      <w:bookmarkEnd w:id="12"/>
      <w:bookmarkEnd w:id="13"/>
    </w:p>
    <w:p w14:paraId="79060BF7">
      <w:pPr>
        <w:adjustRightInd w:val="0"/>
        <w:snapToGrid w:val="0"/>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十四五”以来，全县坚持以习近平新时代中国特色社会主义思想为指导，深入贯彻中央和省、市决策部署，坚持立足所处发展阶段与实际，把握新发展理念、新发展格局的大逻辑，从“时度效”的角度，确立“谋五年、定三年、扎实干好每一年”的发展策略，将长远谋划与落地执行有机统一，有力有效推动“十四五”规划目标任务顺利实现，中国式现代化金湖实践实现良好开局。</w:t>
      </w:r>
    </w:p>
    <w:p w14:paraId="78060999">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4" w:name="_Toc218695823"/>
      <w:r>
        <w:rPr>
          <w:rFonts w:ascii="Times New Roman" w:hAnsi="Times New Roman" w:eastAsia="方正楷体_GBK" w:cs="Times New Roman"/>
          <w:color w:val="000000" w:themeColor="text1"/>
          <w:kern w:val="0"/>
          <w:sz w:val="32"/>
          <w:szCs w:val="32"/>
          <w14:textFill>
            <w14:solidFill>
              <w14:schemeClr w14:val="tx1"/>
            </w14:solidFill>
          </w14:textFill>
        </w:rPr>
        <w:t>第一节  发展基础</w:t>
      </w:r>
      <w:bookmarkEnd w:id="14"/>
    </w:p>
    <w:p w14:paraId="1AAB30FD">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综合经济实力显著跃升。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五年三获省高质量发展先进县、全市高质量跨越发展考核第一等次，一次获全省高质量发展监测指标评价III类地区县区第一名，位列江苏县域现代化发展水平总体评价第14位、苏北第一。经济规模质量持续提升，地区生产总值从2020年的337亿元增长至2025年的500.36亿元，五年连跨两个百亿级台阶，年均增幅约7.2%，增速快于省市；人均地区生产总值从10.8万元增加到17.5万元，高于省市平均水平。一般公共预算收入从23.5亿元增加到34.86亿元、年均增长8.2%，均位居全市前列。入围“新质生产力综合指数、科技创新、绿色发展、投资潜力、发展潜力”等5个全国百强县榜单、全市唯一，新质生产力综合指数位列全国县域百强榜第21位，科技创新指数入围全国县域前50强。</w:t>
      </w:r>
    </w:p>
    <w:p w14:paraId="34831DDF">
      <w:pPr>
        <w:pStyle w:val="29"/>
        <w:spacing w:after="0" w:line="560" w:lineRule="exact"/>
        <w:ind w:left="0" w:leftChars="0" w:firstLine="640"/>
        <w:rPr>
          <w:rFonts w:ascii="Times New Roman" w:hAnsi="Times New Roman" w:cs="Times New Roman"/>
          <w:color w:val="000000" w:themeColor="text1"/>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工业发展质态持续提升。</w:t>
      </w:r>
      <w:r>
        <w:rPr>
          <w:rFonts w:ascii="Times New Roman" w:hAnsi="Times New Roman" w:eastAsia="方正仿宋_GBK" w:cs="Times New Roman"/>
          <w:color w:val="000000" w:themeColor="text1"/>
          <w:sz w:val="32"/>
          <w:szCs w:val="32"/>
          <w14:textFill>
            <w14:solidFill>
              <w14:schemeClr w14:val="tx1"/>
            </w14:solidFill>
          </w14:textFill>
        </w:rPr>
        <w:t>“十四五”期间，全县工业产值连跨六个百亿级台阶，2025年超900亿元；实现规上工业总产值664.92亿元、年均增速达17.5%。规上工业企业从2020年291家增至523家，5年内净增长79.7%。规模以上固定资产投资年均增幅达12.7%，新开工亿元以上项目374个、新竣工亿元以上项目313个，累计完成工业投资</w:t>
      </w:r>
      <w:r>
        <w:rPr>
          <w:rFonts w:hint="eastAsia" w:ascii="Times New Roman" w:hAnsi="Times New Roman" w:eastAsia="方正仿宋_GBK" w:cs="Times New Roman"/>
          <w:color w:val="000000" w:themeColor="text1"/>
          <w:sz w:val="32"/>
          <w:szCs w:val="32"/>
          <w14:textFill>
            <w14:solidFill>
              <w14:schemeClr w14:val="tx1"/>
            </w14:solidFill>
          </w14:textFill>
        </w:rPr>
        <w:t>近</w:t>
      </w:r>
      <w:r>
        <w:rPr>
          <w:rFonts w:ascii="Times New Roman" w:hAnsi="Times New Roman" w:eastAsia="方正仿宋_GBK" w:cs="Times New Roman"/>
          <w:color w:val="000000" w:themeColor="text1"/>
          <w:sz w:val="32"/>
          <w:szCs w:val="32"/>
          <w14:textFill>
            <w14:solidFill>
              <w14:schemeClr w14:val="tx1"/>
            </w14:solidFill>
          </w14:textFill>
        </w:rPr>
        <w:t>800亿元，投资50亿元、百亿元项目和年开票、产值50亿元企业接连实现“零”的突破。产业集群能级加速跃升，先进节能环保能源装备产业集群入选省级中小企业特色产业集群，仪器仪表产业园被认定为江苏省首家</w:t>
      </w:r>
      <w:r>
        <w:rPr>
          <w:rFonts w:hint="eastAsia" w:ascii="Times New Roman" w:hAnsi="Times New Roman" w:eastAsia="方正仿宋_GBK" w:cs="Times New Roman"/>
          <w:color w:val="000000" w:themeColor="text1"/>
          <w:sz w:val="32"/>
          <w:szCs w:val="32"/>
          <w14:textFill>
            <w14:solidFill>
              <w14:schemeClr w14:val="tx1"/>
            </w14:solidFill>
          </w14:textFill>
        </w:rPr>
        <w:t>省级</w:t>
      </w:r>
      <w:r>
        <w:rPr>
          <w:rFonts w:ascii="Times New Roman" w:hAnsi="Times New Roman" w:eastAsia="方正仿宋_GBK" w:cs="Times New Roman"/>
          <w:color w:val="000000" w:themeColor="text1"/>
          <w:sz w:val="32"/>
          <w:szCs w:val="32"/>
          <w14:textFill>
            <w14:solidFill>
              <w14:schemeClr w14:val="tx1"/>
            </w14:solidFill>
          </w14:textFill>
        </w:rPr>
        <w:t>仪器仪表产业园，金湖成为省内仪器仪表产业“链主城市”。企业智能化绿色化转型加快，建成省智能制造示范工厂1家、省先进级智能工厂11家、省智能制造示范车间25个，认定星级上云企业数量全市领先；建成国家级绿色工厂2家、省级绿色工厂36家，总量全市第一。</w:t>
      </w:r>
    </w:p>
    <w:p w14:paraId="251DC430">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科技创新实力不断增强。</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2025年规上企业研发投入达17.</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0</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6亿元、年均增速16%，高新技术产业产值占比超过40%、较2020年提高近10个百分点。万人有效发明专利拥有量达41件。省级首台（套）重大装备认定从10个增至14个，新增数、总数均为全市第一。企业创新主体培育成效明显，新增省级企业院士工作站1家、省级工程研究中心11家、省级工程技术研究中心3家、省级企业技术中心26家，国家高新技术企业数从111家增至193家，省级以上专精特新企业从15家增至127家，获批省潜在独角兽企业1家、省瞪羚企业4家、国家知识产权优势企业2家。创成国家知识产权强县建设试点县、省知识产权建设示范县</w:t>
      </w:r>
      <w:r>
        <w:rPr>
          <w:rFonts w:ascii="Times New Roman" w:hAnsi="Times New Roman" w:eastAsia="方正仿宋_GBK" w:cs="Times New Roman"/>
          <w:color w:val="000000" w:themeColor="text1"/>
          <w:sz w:val="30"/>
          <w:szCs w:val="30"/>
          <w:shd w:val="clear" w:color="auto" w:fill="FFFFFF"/>
          <w14:textFill>
            <w14:solidFill>
              <w14:schemeClr w14:val="tx1"/>
            </w14:solidFill>
          </w14:textFill>
        </w:rPr>
        <w:t>，入选</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省创新型示范县、全市唯一。</w:t>
      </w:r>
    </w:p>
    <w:p w14:paraId="01FC268E">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深化改革开放取得突破。</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承接实施党建引领乡村治理、农村产权流转交易规范化、民营经济高质量发展等省级以上改革试点示范任务32项，推进落实市级改革试点任务34项，一批改革创新案例在省级以上层面推广。优化营商环境、生态文明体制改革、改善农村人居环境、幸福河湖建设、苏北农房条件改善、粮食安全责任制、商事制度改革等12项工作获省政府督查激励，营商环境评价连续5年位居全市第一、2次进入全省前十。在全省率先实施涉审中介联合体“1+N”改革，基层高频事项“一平台办理”实现全覆盖，民营企业继续投资信心率、对外推荐值全市第一。外向型经济稳中求进，累计利用外资3.87亿美元，外贸进出口总额达239亿元、年均增速达7%，注册9710、9810模式企业达23家，年均新增外贸企业10家，企业在中东、南美等新兴市场份额持续攀升。深度参与区域经济合作，与南京对口部门累计签订战略合作协议30余项，推动工业产业、园区合作、农业、文旅等项目与南京都市圈接轨落地。</w:t>
      </w:r>
    </w:p>
    <w:p w14:paraId="415FC325">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bookmarkStart w:id="15" w:name="_Toc203378857"/>
      <w:r>
        <w:rPr>
          <w:rFonts w:ascii="Times New Roman" w:hAnsi="Times New Roman" w:eastAsia="方正楷体_GBK" w:cs="Times New Roman"/>
          <w:color w:val="000000" w:themeColor="text1"/>
          <w:sz w:val="32"/>
          <w:szCs w:val="32"/>
          <w14:textFill>
            <w14:solidFill>
              <w14:schemeClr w14:val="tx1"/>
            </w14:solidFill>
          </w14:textFill>
        </w:rPr>
        <w:t>城乡融合</w:t>
      </w:r>
      <w:bookmarkEnd w:id="15"/>
      <w:r>
        <w:rPr>
          <w:rFonts w:ascii="Times New Roman" w:hAnsi="Times New Roman" w:eastAsia="方正楷体_GBK" w:cs="Times New Roman"/>
          <w:color w:val="000000" w:themeColor="text1"/>
          <w:sz w:val="32"/>
          <w:szCs w:val="32"/>
          <w14:textFill>
            <w14:solidFill>
              <w14:schemeClr w14:val="tx1"/>
            </w14:solidFill>
          </w14:textFill>
        </w:rPr>
        <w:t>发展纵深推进。</w:t>
      </w:r>
      <w:r>
        <w:rPr>
          <w:rFonts w:ascii="Times New Roman" w:hAnsi="Times New Roman" w:eastAsia="方正仿宋_GBK" w:cs="Times New Roman"/>
          <w:color w:val="000000" w:themeColor="text1"/>
          <w:sz w:val="32"/>
          <w:szCs w:val="32"/>
          <w14:textFill>
            <w14:solidFill>
              <w14:schemeClr w14:val="tx1"/>
            </w14:solidFill>
          </w14:textFill>
        </w:rPr>
        <w:t>《金湖县国土空间总体规划（2021—2035年）》获省政府正式批复，“一体两翼，湖城相依”空间格局更加清晰，以县城为载体的新型城镇化建</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设扎实推进，首创首成“全国县级文明城市”，入选全国乡村全面振兴工作联系点、全市唯一。常住人口城镇化率达62%，‌塔集镇、‌银涂镇均上榜全国千强镇榜单，银涂镇培育成江苏省经济发达镇。城区功能完善升级，建成文化艺术中心、体育中心、博物馆、县人民医院传染病发热门诊楼等城建重点项目173个，统筹</w:t>
      </w:r>
      <w:r>
        <w:rPr>
          <w:rFonts w:ascii="Times New Roman" w:hAnsi="Times New Roman" w:eastAsia="方正仿宋_GBK" w:cs="Times New Roman"/>
          <w:color w:val="000000" w:themeColor="text1"/>
          <w:sz w:val="32"/>
          <w:szCs w:val="32"/>
          <w14:textFill>
            <w14:solidFill>
              <w14:schemeClr w14:val="tx1"/>
            </w14:solidFill>
          </w14:textFill>
        </w:rPr>
        <w:t>实施城市更新项目138个，改造老旧小区123个。乡村公共空间治理成效明显，村均集体经营性收入达97万元、较“十三五”增加52万元，进入全市经营性收入十强村2个，入选全国乡村治理示范村2个、中国美丽休闲乡村1个，宜居宜业和美乡村省级命名达22个、白马湖片区试点即将通过省级评定，建成省市特色田园乡村12个，获评全国村庄清洁行动先进县。基础设施从“补短板”向“提能级”跨越，建成通用机场、白马湖景区连接线、港口物流园码头、宝应湖退圩还湖工程一期以及电力能源设施等一批重点项目，宁淮高铁、金宝航道整治、331省道改扩建等工程有序推进，累计新改建农村公路300公里，创成“四好农村路”全国示范县、全省首批城乡公交一体化示范县，城乡交通运输一体化发展达5A级水平，智慧广电乡村工程获批国家试点、苏北唯一。</w:t>
      </w:r>
    </w:p>
    <w:p w14:paraId="11CE26B5">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绿色低碳厚植生态沃土。</w:t>
      </w:r>
      <w:r>
        <w:rPr>
          <w:rFonts w:ascii="Times New Roman" w:hAnsi="Times New Roman" w:eastAsia="方正仿宋_GBK" w:cs="Times New Roman"/>
          <w:color w:val="000000" w:themeColor="text1"/>
          <w:sz w:val="32"/>
          <w:szCs w:val="32"/>
          <w14:textFill>
            <w14:solidFill>
              <w14:schemeClr w14:val="tx1"/>
            </w14:solidFill>
          </w14:textFill>
        </w:rPr>
        <w:t>协同推进降碳、减污、扩绿、增长，国家生态文明建设示范县、国家全域旅游示范区建设成果不断巩固，</w:t>
      </w:r>
      <w:r>
        <w:rPr>
          <w:rFonts w:hint="eastAsia" w:ascii="Times New Roman" w:hAnsi="Times New Roman" w:eastAsia="方正仿宋_GBK" w:cs="Times New Roman"/>
          <w:color w:val="000000" w:themeColor="text1"/>
          <w:sz w:val="32"/>
          <w:szCs w:val="32"/>
          <w14:textFill>
            <w14:solidFill>
              <w14:schemeClr w14:val="tx1"/>
            </w14:solidFill>
          </w14:textFill>
        </w:rPr>
        <w:t>获评</w:t>
      </w:r>
      <w:r>
        <w:rPr>
          <w:rFonts w:ascii="Times New Roman" w:hAnsi="Times New Roman" w:eastAsia="方正仿宋_GBK" w:cs="Times New Roman"/>
          <w:color w:val="000000" w:themeColor="text1"/>
          <w:sz w:val="32"/>
          <w:szCs w:val="32"/>
          <w14:textFill>
            <w14:solidFill>
              <w14:schemeClr w14:val="tx1"/>
            </w14:solidFill>
          </w14:textFill>
        </w:rPr>
        <w:t>“中国天然氧吧”。环境质量持续改善，PM</w:t>
      </w:r>
      <w:r>
        <w:rPr>
          <w:rFonts w:ascii="Times New Roman" w:hAnsi="Times New Roman" w:eastAsia="方正仿宋_GBK" w:cs="Times New Roman"/>
          <w:color w:val="000000" w:themeColor="text1"/>
          <w:sz w:val="32"/>
          <w:szCs w:val="32"/>
          <w:vertAlign w:val="subscript"/>
          <w14:textFill>
            <w14:solidFill>
              <w14:schemeClr w14:val="tx1"/>
            </w14:solidFill>
          </w14:textFill>
        </w:rPr>
        <w:t>2.5</w:t>
      </w:r>
      <w:r>
        <w:rPr>
          <w:rFonts w:ascii="Times New Roman" w:hAnsi="Times New Roman" w:eastAsia="方正仿宋_GBK" w:cs="Times New Roman"/>
          <w:color w:val="000000" w:themeColor="text1"/>
          <w:sz w:val="32"/>
          <w:szCs w:val="32"/>
          <w14:textFill>
            <w14:solidFill>
              <w14:schemeClr w14:val="tx1"/>
            </w14:solidFill>
          </w14:textFill>
        </w:rPr>
        <w:t>年平均浓度连续多年全市最低、在苏北率先降至30微克/立方米以内，优良天数比率常年保持在80%以上，10个国省考断面水质达标率100%。圆满完成省级生态产品价值实现机制试点任务，在全域旅游、生态农业、资源利用等方面取得明显成效，新增国家4A级景区2家、总数达4家，白马湖国家湿地公园跻身国际重要湿地名录，三河湾、水上森林景区分别创成国家、省级水利风景区，建成幸福河湖35条，淮河入江水道创成淮河流域首批幸福河湖暨江苏省幸福河湖，上榜国家级县域节水型社会达标县名单；粮食播种面积、产量始终保持稳定，新建及改造高标准农田21万亩，绿色优质农产品占比达90%，</w:t>
      </w:r>
      <w:r>
        <w:rPr>
          <w:rFonts w:hint="eastAsia" w:ascii="Times New Roman" w:hAnsi="Times New Roman" w:eastAsia="方正仿宋_GBK" w:cs="Times New Roman"/>
          <w:color w:val="000000" w:themeColor="text1"/>
          <w:sz w:val="32"/>
          <w:szCs w:val="32"/>
          <w14:textFill>
            <w14:solidFill>
              <w14:schemeClr w14:val="tx1"/>
            </w14:solidFill>
          </w14:textFill>
        </w:rPr>
        <w:t>获批全国水稻绿色高质高效行动整建制推进县</w:t>
      </w:r>
      <w:r>
        <w:rPr>
          <w:rFonts w:ascii="Times New Roman" w:hAnsi="Times New Roman" w:eastAsia="方正仿宋_GBK" w:cs="Times New Roman"/>
          <w:color w:val="000000" w:themeColor="text1"/>
          <w:sz w:val="32"/>
          <w:szCs w:val="32"/>
          <w14:textFill>
            <w14:solidFill>
              <w14:schemeClr w14:val="tx1"/>
            </w14:solidFill>
          </w14:textFill>
        </w:rPr>
        <w:t>，创成全国休闲农业重点县，入选新一轮国家级制种大县和国家产业强镇创建名单；全县清洁能源发电量达2</w:t>
      </w:r>
      <w:r>
        <w:rPr>
          <w:rFonts w:hint="eastAsia" w:ascii="Times New Roman" w:hAnsi="Times New Roman" w:eastAsia="方正仿宋_GBK" w:cs="Times New Roman"/>
          <w:color w:val="000000" w:themeColor="text1"/>
          <w:sz w:val="32"/>
          <w:szCs w:val="32"/>
          <w14:textFill>
            <w14:solidFill>
              <w14:schemeClr w14:val="tx1"/>
            </w14:solidFill>
          </w14:textFill>
        </w:rPr>
        <w:t>6.31</w:t>
      </w:r>
      <w:r>
        <w:rPr>
          <w:rFonts w:ascii="Times New Roman" w:hAnsi="Times New Roman" w:eastAsia="方正仿宋_GBK" w:cs="Times New Roman"/>
          <w:color w:val="000000" w:themeColor="text1"/>
          <w:sz w:val="32"/>
          <w:szCs w:val="32"/>
          <w14:textFill>
            <w14:solidFill>
              <w14:schemeClr w14:val="tx1"/>
            </w14:solidFill>
          </w14:textFill>
        </w:rPr>
        <w:t>亿千瓦时、占全社会用电量97.08%，成立全市首家绿电绿证服务站，</w:t>
      </w:r>
      <w:r>
        <w:rPr>
          <w:rFonts w:hint="eastAsia" w:ascii="Times New Roman" w:hAnsi="Times New Roman" w:eastAsia="方正仿宋_GBK" w:cs="Times New Roman"/>
          <w:color w:val="000000" w:themeColor="text1"/>
          <w:sz w:val="32"/>
          <w:szCs w:val="32"/>
          <w14:textFill>
            <w14:solidFill>
              <w14:schemeClr w14:val="tx1"/>
            </w14:solidFill>
          </w14:textFill>
        </w:rPr>
        <w:t>低碳县域电网入选国网新型电力系统示范标杆、</w:t>
      </w:r>
      <w:r>
        <w:rPr>
          <w:rFonts w:ascii="Times New Roman" w:hAnsi="Times New Roman" w:eastAsia="方正仿宋_GBK" w:cs="Times New Roman"/>
          <w:color w:val="000000" w:themeColor="text1"/>
          <w:sz w:val="32"/>
          <w:szCs w:val="32"/>
          <w14:textFill>
            <w14:solidFill>
              <w14:schemeClr w14:val="tx1"/>
            </w14:solidFill>
          </w14:textFill>
        </w:rPr>
        <w:t>全省唯一，获批全县域新型电力系统省级试点；“一地一策”盘活处置低效闲置工业用地近1.3万亩，获评省自然资源节约集约利用模范县。</w:t>
      </w:r>
    </w:p>
    <w:p w14:paraId="2CAFA414">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共建共享绘就幸福底色。</w:t>
      </w:r>
      <w:r>
        <w:rPr>
          <w:rFonts w:ascii="Times New Roman" w:hAnsi="Times New Roman" w:eastAsia="方正仿宋_GBK" w:cs="Times New Roman"/>
          <w:color w:val="000000" w:themeColor="text1"/>
          <w:sz w:val="32"/>
          <w:szCs w:val="32"/>
          <w14:textFill>
            <w14:solidFill>
              <w14:schemeClr w14:val="tx1"/>
            </w14:solidFill>
          </w14:textFill>
        </w:rPr>
        <w:t>全体居民人均可支配收入从31461元提升至43585元、年均增长6.7%，城乡居民收入比由1.89:1收窄至1.71:1。基本公共服务均衡发展，高质量完成省市县民生实事434项。就业创业服务稳步推进，累计城镇新增就业1.84万人，城镇失业人员再就业1.44万人，引进外来劳动力1.98万人次，发放稳岗返还资金3597.35万元、惠及企业7436家次，支持成功创业8408人，新增市场主体15448户，开展各类职业技能培训2万人次。“县中振兴”战略深入实施，高水平大学录取人数持续攀升，实施育才初中二期、金湖中学报告厅、开发区实验幼儿园、金湖中专新校区等重点项目，</w:t>
      </w:r>
      <w:r>
        <w:rPr>
          <w:rFonts w:hint="eastAsia" w:ascii="Times New Roman" w:hAnsi="Times New Roman" w:eastAsia="方正仿宋_GBK" w:cs="Times New Roman"/>
          <w:color w:val="000000" w:themeColor="text1"/>
          <w:sz w:val="32"/>
          <w:szCs w:val="32"/>
          <w14:textFill>
            <w14:solidFill>
              <w14:schemeClr w14:val="tx1"/>
            </w14:solidFill>
          </w14:textFill>
        </w:rPr>
        <w:t>创成全国</w:t>
      </w:r>
      <w:r>
        <w:rPr>
          <w:rFonts w:ascii="Times New Roman" w:hAnsi="Times New Roman" w:eastAsia="方正仿宋_GBK" w:cs="Times New Roman"/>
          <w:color w:val="000000" w:themeColor="text1"/>
          <w:sz w:val="32"/>
          <w:szCs w:val="32"/>
          <w14:textFill>
            <w14:solidFill>
              <w14:schemeClr w14:val="tx1"/>
            </w14:solidFill>
          </w14:textFill>
        </w:rPr>
        <w:t>义务教育优质均衡发展县</w:t>
      </w:r>
      <w:r>
        <w:rPr>
          <w:rFonts w:hint="eastAsia" w:ascii="Times New Roman" w:hAnsi="Times New Roman" w:eastAsia="方正仿宋_GBK" w:cs="Times New Roman"/>
          <w:color w:val="000000" w:themeColor="text1"/>
          <w:sz w:val="32"/>
          <w:szCs w:val="32"/>
          <w14:textFill>
            <w14:solidFill>
              <w14:schemeClr w14:val="tx1"/>
            </w14:solidFill>
          </w14:textFill>
        </w:rPr>
        <w:t>、全国</w:t>
      </w:r>
      <w:r>
        <w:rPr>
          <w:rFonts w:ascii="Times New Roman" w:hAnsi="Times New Roman" w:eastAsia="方正仿宋_GBK" w:cs="Times New Roman"/>
          <w:color w:val="000000" w:themeColor="text1"/>
          <w:sz w:val="32"/>
          <w:szCs w:val="32"/>
          <w14:textFill>
            <w14:solidFill>
              <w14:schemeClr w14:val="tx1"/>
            </w14:solidFill>
          </w14:textFill>
        </w:rPr>
        <w:t>学前教育普及普惠县，累计投入各类教育专项经费8.35亿元。医疗卫生服务水平进一步提升，人均预期寿命达81.2岁，每千常住人口执业（助理）医师数达3.73人，每千常住人口公共卫生人员数达1.25人，新增普惠托育机构省级1个、市级4个，县人民医院入选首批“千县工程”综合能力提升县级医院，县中医院等获评省老年友善医疗服务机构。社保覆盖范围不断扩大，城乡居民养老保险参保缴费率达93.4%，城乡居民基本医疗保险参保率达98.5%，村（社区）医保公共服务实现全覆盖。社保待遇水平稳步提升，企业养老保险人均养老金水平达2345.38元/月，城乡居民养老保险基础养老金标准提升至每人每月248元，失业金提标增幅达54%，各项社保待遇足额发放率达100%。文化建设不断加强，入选省习近平新时代中国特色社会主义思想实践调研基地、全市唯一，县图书馆连续4届获评国家一级馆，县文化馆创成国家一级馆，县档案馆创成全国示范数字档案馆，入选省最美公共文化空间8个、省级非遗项目2个，全县人均体育场地面积达4.66平方米、位居全市前列。获评省残疾人工作先进县、“15分钟医保服务圈”示范县。安全生产事故起数平稳下降，“厂中厂”专项整治经验在全国推广。群众安全感指数在全省持续保持高位，获评全省法治政府建设示范县、信访工作示范县。</w:t>
      </w:r>
    </w:p>
    <w:p w14:paraId="69366130">
      <w:pP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br w:type="page"/>
      </w:r>
    </w:p>
    <w:p w14:paraId="663B6B0B">
      <w:pPr>
        <w:widowControl/>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表1 金湖县“十四五”规划主要指标完成情况</w:t>
      </w:r>
    </w:p>
    <w:tbl>
      <w:tblPr>
        <w:tblStyle w:val="30"/>
        <w:tblW w:w="929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07"/>
        <w:gridCol w:w="2830"/>
        <w:gridCol w:w="1398"/>
        <w:gridCol w:w="865"/>
        <w:gridCol w:w="1278"/>
        <w:gridCol w:w="1060"/>
        <w:gridCol w:w="1153"/>
      </w:tblGrid>
      <w:tr w14:paraId="57F0CD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3" w:hRule="atLeast"/>
          <w:tblHeader/>
          <w:jc w:val="center"/>
        </w:trPr>
        <w:tc>
          <w:tcPr>
            <w:tcW w:w="707" w:type="dxa"/>
            <w:vAlign w:val="center"/>
          </w:tcPr>
          <w:p w14:paraId="10866176">
            <w:pPr>
              <w:widowControl/>
              <w:spacing w:line="240" w:lineRule="exact"/>
              <w:rPr>
                <w:rFonts w:ascii="Times New Roman" w:hAnsi="Times New Roman" w:cs="Times New Roman"/>
                <w:color w:val="000000" w:themeColor="text1"/>
                <w:szCs w:val="21"/>
                <w14:textFill>
                  <w14:solidFill>
                    <w14:schemeClr w14:val="tx1"/>
                  </w14:solidFill>
                </w14:textFill>
              </w:rPr>
            </w:pPr>
            <w:bookmarkStart w:id="16" w:name="_Hlk214955824"/>
            <w:r>
              <w:rPr>
                <w:rFonts w:ascii="Times New Roman" w:hAnsi="Times New Roman" w:eastAsia="黑体" w:cs="Times New Roman"/>
                <w:color w:val="000000" w:themeColor="text1"/>
                <w:szCs w:val="21"/>
                <w14:textFill>
                  <w14:solidFill>
                    <w14:schemeClr w14:val="tx1"/>
                  </w14:solidFill>
                </w14:textFill>
              </w:rPr>
              <w:t>分类</w:t>
            </w:r>
          </w:p>
        </w:tc>
        <w:tc>
          <w:tcPr>
            <w:tcW w:w="2830" w:type="dxa"/>
            <w:vAlign w:val="center"/>
          </w:tcPr>
          <w:p w14:paraId="0E55A4E4">
            <w:pPr>
              <w:widowControl/>
              <w:spacing w:line="240" w:lineRule="exact"/>
              <w:jc w:val="center"/>
              <w:rPr>
                <w:rFonts w:ascii="Times New Roman" w:hAnsi="Times New Roman" w:eastAsia="方正黑体_GBK"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指标</w:t>
            </w:r>
          </w:p>
        </w:tc>
        <w:tc>
          <w:tcPr>
            <w:tcW w:w="1398" w:type="dxa"/>
            <w:vAlign w:val="center"/>
          </w:tcPr>
          <w:p w14:paraId="06A37B13">
            <w:pPr>
              <w:widowControl/>
              <w:spacing w:line="240" w:lineRule="exact"/>
              <w:jc w:val="center"/>
              <w:rPr>
                <w:rFonts w:ascii="Times New Roman" w:hAnsi="Times New Roman" w:eastAsia="黑体" w:cs="Times New Roman"/>
                <w:b/>
                <w:bCs/>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“十四五”目标</w:t>
            </w:r>
          </w:p>
        </w:tc>
        <w:tc>
          <w:tcPr>
            <w:tcW w:w="865" w:type="dxa"/>
            <w:vAlign w:val="center"/>
          </w:tcPr>
          <w:p w14:paraId="48B53CE0">
            <w:pPr>
              <w:widowControl/>
              <w:spacing w:line="240" w:lineRule="exact"/>
              <w:jc w:val="center"/>
              <w:rPr>
                <w:rFonts w:ascii="Times New Roman" w:hAnsi="Times New Roman" w:eastAsia="方正黑体_GBK"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目标年均增速</w:t>
            </w:r>
          </w:p>
        </w:tc>
        <w:tc>
          <w:tcPr>
            <w:tcW w:w="1278" w:type="dxa"/>
            <w:vAlign w:val="center"/>
          </w:tcPr>
          <w:p w14:paraId="6BED4752">
            <w:pPr>
              <w:widowControl/>
              <w:spacing w:line="24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“十四五”</w:t>
            </w:r>
          </w:p>
          <w:p w14:paraId="08D60EDA">
            <w:pPr>
              <w:widowControl/>
              <w:spacing w:line="24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完成情况</w:t>
            </w:r>
          </w:p>
        </w:tc>
        <w:tc>
          <w:tcPr>
            <w:tcW w:w="1060" w:type="dxa"/>
            <w:vAlign w:val="center"/>
          </w:tcPr>
          <w:p w14:paraId="170470A1">
            <w:pPr>
              <w:widowControl/>
              <w:spacing w:line="24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进度状态</w:t>
            </w:r>
          </w:p>
        </w:tc>
        <w:tc>
          <w:tcPr>
            <w:tcW w:w="1153" w:type="dxa"/>
            <w:vAlign w:val="center"/>
          </w:tcPr>
          <w:p w14:paraId="20618324">
            <w:pPr>
              <w:widowControl/>
              <w:spacing w:line="24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属性</w:t>
            </w:r>
          </w:p>
        </w:tc>
      </w:tr>
      <w:tr w14:paraId="7D81A3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restart"/>
            <w:vAlign w:val="center"/>
          </w:tcPr>
          <w:p w14:paraId="4C14F802">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经济</w:t>
            </w:r>
            <w:r>
              <w:rPr>
                <w:rFonts w:ascii="Times New Roman" w:hAnsi="Times New Roman" w:eastAsia="仿宋_GB2312" w:cs="Times New Roman"/>
                <w:color w:val="000000" w:themeColor="text1"/>
                <w:szCs w:val="21"/>
                <w14:textFill>
                  <w14:solidFill>
                    <w14:schemeClr w14:val="tx1"/>
                  </w14:solidFill>
                </w14:textFill>
              </w:rPr>
              <w:br w:type="textWrapping"/>
            </w:r>
            <w:r>
              <w:rPr>
                <w:rFonts w:ascii="Times New Roman" w:hAnsi="Times New Roman" w:eastAsia="仿宋_GB2312" w:cs="Times New Roman"/>
                <w:color w:val="000000" w:themeColor="text1"/>
                <w:szCs w:val="21"/>
                <w14:textFill>
                  <w14:solidFill>
                    <w14:schemeClr w14:val="tx1"/>
                  </w14:solidFill>
                </w14:textFill>
              </w:rPr>
              <w:t>更强</w:t>
            </w:r>
          </w:p>
        </w:tc>
        <w:tc>
          <w:tcPr>
            <w:tcW w:w="2830" w:type="dxa"/>
            <w:vAlign w:val="center"/>
          </w:tcPr>
          <w:p w14:paraId="5B7B5531">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地区生产总值增长率（%）</w:t>
            </w:r>
          </w:p>
        </w:tc>
        <w:tc>
          <w:tcPr>
            <w:tcW w:w="1398" w:type="dxa"/>
            <w:vAlign w:val="center"/>
          </w:tcPr>
          <w:p w14:paraId="25802B4B">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865" w:type="dxa"/>
            <w:vAlign w:val="center"/>
          </w:tcPr>
          <w:p w14:paraId="4109A4B4">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6.2</w:t>
            </w:r>
          </w:p>
        </w:tc>
        <w:tc>
          <w:tcPr>
            <w:tcW w:w="1278" w:type="dxa"/>
            <w:vAlign w:val="center"/>
          </w:tcPr>
          <w:p w14:paraId="2A0059AB">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7.2</w:t>
            </w:r>
          </w:p>
        </w:tc>
        <w:tc>
          <w:tcPr>
            <w:tcW w:w="1060" w:type="dxa"/>
            <w:vAlign w:val="center"/>
          </w:tcPr>
          <w:p w14:paraId="6A7CCB83">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50984AFD">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6AE99B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71590D13">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00578CB7">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一般公共预算收入增长率（%）</w:t>
            </w:r>
          </w:p>
        </w:tc>
        <w:tc>
          <w:tcPr>
            <w:tcW w:w="1398" w:type="dxa"/>
            <w:vAlign w:val="center"/>
          </w:tcPr>
          <w:p w14:paraId="39BDF0DE">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865" w:type="dxa"/>
            <w:vAlign w:val="center"/>
          </w:tcPr>
          <w:p w14:paraId="46CE4AD1">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3.9</w:t>
            </w:r>
          </w:p>
        </w:tc>
        <w:tc>
          <w:tcPr>
            <w:tcW w:w="1278" w:type="dxa"/>
            <w:vAlign w:val="center"/>
          </w:tcPr>
          <w:p w14:paraId="731917CD">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8.16</w:t>
            </w:r>
          </w:p>
        </w:tc>
        <w:tc>
          <w:tcPr>
            <w:tcW w:w="1060" w:type="dxa"/>
            <w:vAlign w:val="center"/>
          </w:tcPr>
          <w:p w14:paraId="24B3188C">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05C17D1E">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2E99ED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1F032329">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5668A8FF">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全员劳动生产率增长（%）</w:t>
            </w:r>
          </w:p>
        </w:tc>
        <w:tc>
          <w:tcPr>
            <w:tcW w:w="1398" w:type="dxa"/>
            <w:vAlign w:val="center"/>
          </w:tcPr>
          <w:p w14:paraId="082814F5">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865" w:type="dxa"/>
            <w:vAlign w:val="center"/>
          </w:tcPr>
          <w:p w14:paraId="04B8B813">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6.2</w:t>
            </w:r>
          </w:p>
        </w:tc>
        <w:tc>
          <w:tcPr>
            <w:tcW w:w="1278" w:type="dxa"/>
            <w:vAlign w:val="center"/>
          </w:tcPr>
          <w:p w14:paraId="3D7A65CD">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7.7</w:t>
            </w:r>
          </w:p>
        </w:tc>
        <w:tc>
          <w:tcPr>
            <w:tcW w:w="1060" w:type="dxa"/>
            <w:vAlign w:val="center"/>
          </w:tcPr>
          <w:p w14:paraId="1BA04C75">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6FA1D5F4">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609258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623344F9">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63E9F5E6">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研发经费投入增长（%）</w:t>
            </w:r>
          </w:p>
        </w:tc>
        <w:tc>
          <w:tcPr>
            <w:tcW w:w="1398" w:type="dxa"/>
            <w:vAlign w:val="center"/>
          </w:tcPr>
          <w:p w14:paraId="218B528C">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865" w:type="dxa"/>
            <w:vAlign w:val="center"/>
          </w:tcPr>
          <w:p w14:paraId="78EA7E1A">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11.3</w:t>
            </w:r>
          </w:p>
        </w:tc>
        <w:tc>
          <w:tcPr>
            <w:tcW w:w="1278" w:type="dxa"/>
            <w:vAlign w:val="center"/>
          </w:tcPr>
          <w:p w14:paraId="56F4A2F4">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16</w:t>
            </w:r>
          </w:p>
        </w:tc>
        <w:tc>
          <w:tcPr>
            <w:tcW w:w="1060" w:type="dxa"/>
            <w:vAlign w:val="center"/>
          </w:tcPr>
          <w:p w14:paraId="021C600F">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159DC4C4">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02E073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694F0B9F">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187DC435">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每万人口拥有高价值发明专利数（件）</w:t>
            </w:r>
          </w:p>
        </w:tc>
        <w:tc>
          <w:tcPr>
            <w:tcW w:w="1398" w:type="dxa"/>
            <w:vAlign w:val="center"/>
          </w:tcPr>
          <w:p w14:paraId="2BDCD8E2">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5</w:t>
            </w:r>
          </w:p>
        </w:tc>
        <w:tc>
          <w:tcPr>
            <w:tcW w:w="865" w:type="dxa"/>
            <w:vAlign w:val="center"/>
          </w:tcPr>
          <w:p w14:paraId="52790F5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094E9A7C">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32.3</w:t>
            </w:r>
          </w:p>
        </w:tc>
        <w:tc>
          <w:tcPr>
            <w:tcW w:w="1060" w:type="dxa"/>
            <w:vAlign w:val="center"/>
          </w:tcPr>
          <w:p w14:paraId="27892FA9">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54F62B1A">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013D3A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77CCA2D0">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008F039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制造业增加值占比（%）</w:t>
            </w:r>
          </w:p>
        </w:tc>
        <w:tc>
          <w:tcPr>
            <w:tcW w:w="1398" w:type="dxa"/>
            <w:vAlign w:val="center"/>
          </w:tcPr>
          <w:p w14:paraId="0989BCB5">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36</w:t>
            </w:r>
          </w:p>
        </w:tc>
        <w:tc>
          <w:tcPr>
            <w:tcW w:w="865" w:type="dxa"/>
            <w:vAlign w:val="center"/>
          </w:tcPr>
          <w:p w14:paraId="0419211C">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5317D45F">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29.1</w:t>
            </w:r>
          </w:p>
        </w:tc>
        <w:tc>
          <w:tcPr>
            <w:tcW w:w="1060" w:type="dxa"/>
            <w:vAlign w:val="center"/>
          </w:tcPr>
          <w:p w14:paraId="543B349D">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不及预期</w:t>
            </w:r>
          </w:p>
        </w:tc>
        <w:tc>
          <w:tcPr>
            <w:tcW w:w="1153" w:type="dxa"/>
            <w:vAlign w:val="center"/>
          </w:tcPr>
          <w:p w14:paraId="7E5E42FF">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0FE534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24F1A98F">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66029EC7">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高新技术产业产值占规模以上工业产值的比重（%）</w:t>
            </w:r>
          </w:p>
        </w:tc>
        <w:tc>
          <w:tcPr>
            <w:tcW w:w="1398" w:type="dxa"/>
            <w:vAlign w:val="center"/>
          </w:tcPr>
          <w:p w14:paraId="0D9216BE">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36</w:t>
            </w:r>
          </w:p>
        </w:tc>
        <w:tc>
          <w:tcPr>
            <w:tcW w:w="865" w:type="dxa"/>
            <w:vAlign w:val="center"/>
          </w:tcPr>
          <w:p w14:paraId="387F3C1C">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0431C3C9">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40</w:t>
            </w:r>
          </w:p>
        </w:tc>
        <w:tc>
          <w:tcPr>
            <w:tcW w:w="1060" w:type="dxa"/>
            <w:vAlign w:val="center"/>
          </w:tcPr>
          <w:p w14:paraId="04309FAF">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586AAFC0">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229DD1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672BB884">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1352930C">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数字经济核心产业增加值占地区生产总值比重（%）</w:t>
            </w:r>
          </w:p>
        </w:tc>
        <w:tc>
          <w:tcPr>
            <w:tcW w:w="1398" w:type="dxa"/>
            <w:vAlign w:val="center"/>
          </w:tcPr>
          <w:p w14:paraId="61DFE6D5">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高于全市平均水平</w:t>
            </w:r>
          </w:p>
        </w:tc>
        <w:tc>
          <w:tcPr>
            <w:tcW w:w="865" w:type="dxa"/>
            <w:vAlign w:val="center"/>
          </w:tcPr>
          <w:p w14:paraId="65A7716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63B6C8E5">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高于全市平均水平</w:t>
            </w:r>
          </w:p>
        </w:tc>
        <w:tc>
          <w:tcPr>
            <w:tcW w:w="1060" w:type="dxa"/>
            <w:vAlign w:val="center"/>
          </w:tcPr>
          <w:p w14:paraId="7645EDC7">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73BFDD68">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77D01F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1B6F5318">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18D370B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旅游业总收入（亿元）</w:t>
            </w:r>
          </w:p>
        </w:tc>
        <w:tc>
          <w:tcPr>
            <w:tcW w:w="1398" w:type="dxa"/>
            <w:vAlign w:val="center"/>
          </w:tcPr>
          <w:p w14:paraId="02983B1C">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80</w:t>
            </w:r>
          </w:p>
        </w:tc>
        <w:tc>
          <w:tcPr>
            <w:tcW w:w="865" w:type="dxa"/>
            <w:vAlign w:val="center"/>
          </w:tcPr>
          <w:p w14:paraId="252042BE">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61AD34E3">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80</w:t>
            </w:r>
          </w:p>
        </w:tc>
        <w:tc>
          <w:tcPr>
            <w:tcW w:w="1060" w:type="dxa"/>
            <w:vAlign w:val="center"/>
          </w:tcPr>
          <w:p w14:paraId="4CD2CC58">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4DF62AAD">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08DF1D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0653F24C">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5D830DF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常住人口城镇化率（%）</w:t>
            </w:r>
          </w:p>
        </w:tc>
        <w:tc>
          <w:tcPr>
            <w:tcW w:w="1398" w:type="dxa"/>
            <w:vAlign w:val="center"/>
          </w:tcPr>
          <w:p w14:paraId="07BBE46C">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62</w:t>
            </w:r>
          </w:p>
        </w:tc>
        <w:tc>
          <w:tcPr>
            <w:tcW w:w="865" w:type="dxa"/>
            <w:vAlign w:val="center"/>
          </w:tcPr>
          <w:p w14:paraId="4E36CA57">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26FD53E8">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62</w:t>
            </w:r>
          </w:p>
        </w:tc>
        <w:tc>
          <w:tcPr>
            <w:tcW w:w="1060" w:type="dxa"/>
            <w:vAlign w:val="center"/>
          </w:tcPr>
          <w:p w14:paraId="5F88BF20">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1C191248">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2133A4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728D3CFB">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2F69687D">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外贸进出口总额增长率（%）</w:t>
            </w:r>
          </w:p>
        </w:tc>
        <w:tc>
          <w:tcPr>
            <w:tcW w:w="1398" w:type="dxa"/>
            <w:vAlign w:val="center"/>
          </w:tcPr>
          <w:p w14:paraId="79DA4E43">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865" w:type="dxa"/>
            <w:vAlign w:val="center"/>
          </w:tcPr>
          <w:p w14:paraId="46F94BC9">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5</w:t>
            </w:r>
          </w:p>
        </w:tc>
        <w:tc>
          <w:tcPr>
            <w:tcW w:w="1278" w:type="dxa"/>
            <w:vAlign w:val="center"/>
          </w:tcPr>
          <w:p w14:paraId="64DD4A24">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7</w:t>
            </w:r>
          </w:p>
        </w:tc>
        <w:tc>
          <w:tcPr>
            <w:tcW w:w="1060" w:type="dxa"/>
            <w:vAlign w:val="center"/>
          </w:tcPr>
          <w:p w14:paraId="1872250A">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6E03C1ED">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2D41FB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5535B357">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082E00DA">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绿色优质农产品比重（%）</w:t>
            </w:r>
          </w:p>
        </w:tc>
        <w:tc>
          <w:tcPr>
            <w:tcW w:w="1398" w:type="dxa"/>
            <w:vAlign w:val="center"/>
          </w:tcPr>
          <w:p w14:paraId="67E3626A">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75</w:t>
            </w:r>
          </w:p>
        </w:tc>
        <w:tc>
          <w:tcPr>
            <w:tcW w:w="865" w:type="dxa"/>
            <w:vAlign w:val="center"/>
          </w:tcPr>
          <w:p w14:paraId="194377B1">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4C538C74">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90.60</w:t>
            </w:r>
          </w:p>
        </w:tc>
        <w:tc>
          <w:tcPr>
            <w:tcW w:w="1060" w:type="dxa"/>
            <w:vAlign w:val="center"/>
          </w:tcPr>
          <w:p w14:paraId="3C401F19">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02F5DD93">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39A8D8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restart"/>
            <w:vAlign w:val="center"/>
          </w:tcPr>
          <w:p w14:paraId="575C8EC4">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百姓</w:t>
            </w:r>
            <w:r>
              <w:rPr>
                <w:rFonts w:ascii="Times New Roman" w:hAnsi="Times New Roman" w:eastAsia="仿宋_GB2312" w:cs="Times New Roman"/>
                <w:color w:val="000000" w:themeColor="text1"/>
                <w:szCs w:val="21"/>
                <w14:textFill>
                  <w14:solidFill>
                    <w14:schemeClr w14:val="tx1"/>
                  </w14:solidFill>
                </w14:textFill>
              </w:rPr>
              <w:br w:type="textWrapping"/>
            </w:r>
            <w:r>
              <w:rPr>
                <w:rFonts w:ascii="Times New Roman" w:hAnsi="Times New Roman" w:eastAsia="仿宋_GB2312" w:cs="Times New Roman"/>
                <w:color w:val="000000" w:themeColor="text1"/>
                <w:szCs w:val="21"/>
                <w14:textFill>
                  <w14:solidFill>
                    <w14:schemeClr w14:val="tx1"/>
                  </w14:solidFill>
                </w14:textFill>
              </w:rPr>
              <w:t>更富</w:t>
            </w:r>
          </w:p>
        </w:tc>
        <w:tc>
          <w:tcPr>
            <w:tcW w:w="2830" w:type="dxa"/>
            <w:vAlign w:val="center"/>
          </w:tcPr>
          <w:p w14:paraId="14DDE2AD">
            <w:pPr>
              <w:widowControl/>
              <w:spacing w:line="240" w:lineRule="exact"/>
              <w:jc w:val="center"/>
              <w:rPr>
                <w:rFonts w:ascii="Times New Roman" w:hAnsi="Times New Roman" w:cs="Times New Roman"/>
                <w:color w:val="000000" w:themeColor="text1"/>
                <w:szCs w:val="21"/>
                <w14:textFill>
                  <w14:solidFill>
                    <w14:schemeClr w14:val="tx1"/>
                  </w14:solidFill>
                </w14:textFill>
              </w:rPr>
            </w:pPr>
            <w:bookmarkStart w:id="17" w:name="_Hlk217674248"/>
            <w:r>
              <w:rPr>
                <w:rFonts w:ascii="Times New Roman" w:hAnsi="Times New Roman" w:eastAsia="仿宋_GB2312" w:cs="Times New Roman"/>
                <w:color w:val="000000" w:themeColor="text1"/>
                <w:szCs w:val="21"/>
                <w14:textFill>
                  <w14:solidFill>
                    <w14:schemeClr w14:val="tx1"/>
                  </w14:solidFill>
                </w14:textFill>
              </w:rPr>
              <w:t>居民人均可支配收入增长率</w:t>
            </w:r>
            <w:bookmarkEnd w:id="17"/>
            <w:r>
              <w:rPr>
                <w:rFonts w:ascii="Times New Roman" w:hAnsi="Times New Roman" w:eastAsia="仿宋_GB2312" w:cs="Times New Roman"/>
                <w:color w:val="000000" w:themeColor="text1"/>
                <w:szCs w:val="21"/>
                <w14:textFill>
                  <w14:solidFill>
                    <w14:schemeClr w14:val="tx1"/>
                  </w14:solidFill>
                </w14:textFill>
              </w:rPr>
              <w:t>（%）</w:t>
            </w:r>
          </w:p>
        </w:tc>
        <w:tc>
          <w:tcPr>
            <w:tcW w:w="1398" w:type="dxa"/>
            <w:vAlign w:val="center"/>
          </w:tcPr>
          <w:p w14:paraId="1F4DC8C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865" w:type="dxa"/>
            <w:vAlign w:val="center"/>
          </w:tcPr>
          <w:p w14:paraId="061C9ADE">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6.5</w:t>
            </w:r>
          </w:p>
        </w:tc>
        <w:tc>
          <w:tcPr>
            <w:tcW w:w="1278" w:type="dxa"/>
            <w:vAlign w:val="center"/>
          </w:tcPr>
          <w:p w14:paraId="126DF3F1">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6.7</w:t>
            </w:r>
          </w:p>
        </w:tc>
        <w:tc>
          <w:tcPr>
            <w:tcW w:w="1060" w:type="dxa"/>
            <w:vAlign w:val="center"/>
          </w:tcPr>
          <w:p w14:paraId="1F342E5C">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2FE32FAD">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02C046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1D91882A">
            <w:pPr>
              <w:widowControl/>
              <w:spacing w:line="240" w:lineRule="exact"/>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7321715F">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城镇调查失业率（%）</w:t>
            </w:r>
          </w:p>
        </w:tc>
        <w:tc>
          <w:tcPr>
            <w:tcW w:w="1398" w:type="dxa"/>
            <w:vAlign w:val="center"/>
          </w:tcPr>
          <w:p w14:paraId="6507399A">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&lt;4</w:t>
            </w:r>
          </w:p>
        </w:tc>
        <w:tc>
          <w:tcPr>
            <w:tcW w:w="865" w:type="dxa"/>
            <w:vAlign w:val="center"/>
          </w:tcPr>
          <w:p w14:paraId="6139BEF5">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7F5F9A10">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&lt;4</w:t>
            </w:r>
          </w:p>
        </w:tc>
        <w:tc>
          <w:tcPr>
            <w:tcW w:w="1060" w:type="dxa"/>
            <w:vAlign w:val="center"/>
          </w:tcPr>
          <w:p w14:paraId="11A64895">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333B3DD8">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0C41EA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2559F3CD">
            <w:pPr>
              <w:widowControl/>
              <w:spacing w:line="240" w:lineRule="exact"/>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06EAC82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人均预期寿命（岁）</w:t>
            </w:r>
          </w:p>
        </w:tc>
        <w:tc>
          <w:tcPr>
            <w:tcW w:w="1398" w:type="dxa"/>
            <w:vAlign w:val="center"/>
          </w:tcPr>
          <w:p w14:paraId="780D785A">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81</w:t>
            </w:r>
          </w:p>
        </w:tc>
        <w:tc>
          <w:tcPr>
            <w:tcW w:w="865" w:type="dxa"/>
            <w:vAlign w:val="center"/>
          </w:tcPr>
          <w:p w14:paraId="37CEFC06">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1AA7383E">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81.2</w:t>
            </w:r>
          </w:p>
        </w:tc>
        <w:tc>
          <w:tcPr>
            <w:tcW w:w="1060" w:type="dxa"/>
            <w:vAlign w:val="center"/>
          </w:tcPr>
          <w:p w14:paraId="1C254FA2">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达</w:t>
            </w:r>
            <w:r>
              <w:rPr>
                <w:rFonts w:ascii="Times New Roman" w:hAnsi="Times New Roman" w:eastAsia="仿宋_GB2312" w:cs="Times New Roman"/>
                <w:color w:val="000000" w:themeColor="text1"/>
                <w:szCs w:val="21"/>
                <w14:textFill>
                  <w14:solidFill>
                    <w14:schemeClr w14:val="tx1"/>
                  </w14:solidFill>
                </w14:textFill>
              </w:rPr>
              <w:t>预期</w:t>
            </w:r>
          </w:p>
        </w:tc>
        <w:tc>
          <w:tcPr>
            <w:tcW w:w="1153" w:type="dxa"/>
            <w:vAlign w:val="center"/>
          </w:tcPr>
          <w:p w14:paraId="5E6CBAAA">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648903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57C1485D">
            <w:pPr>
              <w:widowControl/>
              <w:spacing w:line="240" w:lineRule="exact"/>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2D020256">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每千人口拥有执业（助理）医师数（人）</w:t>
            </w:r>
          </w:p>
        </w:tc>
        <w:tc>
          <w:tcPr>
            <w:tcW w:w="1398" w:type="dxa"/>
            <w:vAlign w:val="center"/>
          </w:tcPr>
          <w:p w14:paraId="41205BF5">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3.0</w:t>
            </w:r>
          </w:p>
        </w:tc>
        <w:tc>
          <w:tcPr>
            <w:tcW w:w="865" w:type="dxa"/>
            <w:vAlign w:val="center"/>
          </w:tcPr>
          <w:p w14:paraId="1174A11F">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4255D0F1">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3.73</w:t>
            </w:r>
          </w:p>
        </w:tc>
        <w:tc>
          <w:tcPr>
            <w:tcW w:w="1060" w:type="dxa"/>
            <w:vAlign w:val="center"/>
          </w:tcPr>
          <w:p w14:paraId="713D8D9B">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616E6E44">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2C2CC3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7753E140">
            <w:pPr>
              <w:widowControl/>
              <w:spacing w:line="240" w:lineRule="exact"/>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67F550DB">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城乡基本养老保险参保缴费率（%）</w:t>
            </w:r>
          </w:p>
        </w:tc>
        <w:tc>
          <w:tcPr>
            <w:tcW w:w="1398" w:type="dxa"/>
            <w:vAlign w:val="center"/>
          </w:tcPr>
          <w:p w14:paraId="492BBE18">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90</w:t>
            </w:r>
          </w:p>
        </w:tc>
        <w:tc>
          <w:tcPr>
            <w:tcW w:w="865" w:type="dxa"/>
            <w:vAlign w:val="center"/>
          </w:tcPr>
          <w:p w14:paraId="2E288512">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6385E206">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93.4</w:t>
            </w:r>
          </w:p>
        </w:tc>
        <w:tc>
          <w:tcPr>
            <w:tcW w:w="1060" w:type="dxa"/>
            <w:vAlign w:val="center"/>
          </w:tcPr>
          <w:p w14:paraId="223CDBE5">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13CCA042">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0B27FE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4C443AC4">
            <w:pPr>
              <w:widowControl/>
              <w:spacing w:line="240" w:lineRule="exact"/>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708F5801">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每千人人口拥有0-3岁婴幼儿托育数（个）</w:t>
            </w:r>
          </w:p>
        </w:tc>
        <w:tc>
          <w:tcPr>
            <w:tcW w:w="1398" w:type="dxa"/>
            <w:vAlign w:val="center"/>
          </w:tcPr>
          <w:p w14:paraId="4630004B">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3.5</w:t>
            </w:r>
          </w:p>
        </w:tc>
        <w:tc>
          <w:tcPr>
            <w:tcW w:w="865" w:type="dxa"/>
            <w:vAlign w:val="center"/>
          </w:tcPr>
          <w:p w14:paraId="3A8826AC">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14405DC4">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4.8</w:t>
            </w:r>
          </w:p>
        </w:tc>
        <w:tc>
          <w:tcPr>
            <w:tcW w:w="1060" w:type="dxa"/>
            <w:vAlign w:val="center"/>
          </w:tcPr>
          <w:p w14:paraId="0459F469">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超预期</w:t>
            </w:r>
          </w:p>
        </w:tc>
        <w:tc>
          <w:tcPr>
            <w:tcW w:w="1153" w:type="dxa"/>
            <w:vAlign w:val="center"/>
          </w:tcPr>
          <w:p w14:paraId="0A020935">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4A854B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7" w:type="dxa"/>
            <w:vMerge w:val="continue"/>
            <w:vAlign w:val="center"/>
          </w:tcPr>
          <w:p w14:paraId="1857D8EA">
            <w:pPr>
              <w:widowControl/>
              <w:spacing w:line="240" w:lineRule="exact"/>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7D294985">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接受上门服务的居家老年人数占比（%）</w:t>
            </w:r>
          </w:p>
        </w:tc>
        <w:tc>
          <w:tcPr>
            <w:tcW w:w="1398" w:type="dxa"/>
            <w:vAlign w:val="center"/>
          </w:tcPr>
          <w:p w14:paraId="33F65C38">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高于全市平均水平</w:t>
            </w:r>
          </w:p>
        </w:tc>
        <w:tc>
          <w:tcPr>
            <w:tcW w:w="865" w:type="dxa"/>
            <w:vAlign w:val="center"/>
          </w:tcPr>
          <w:p w14:paraId="0D3C8F36">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674ECD4D">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100</w:t>
            </w:r>
          </w:p>
        </w:tc>
        <w:tc>
          <w:tcPr>
            <w:tcW w:w="1060" w:type="dxa"/>
            <w:vAlign w:val="center"/>
          </w:tcPr>
          <w:p w14:paraId="5526F623">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Cs w:val="21"/>
                <w14:textFill>
                  <w14:solidFill>
                    <w14:schemeClr w14:val="tx1"/>
                  </w14:solidFill>
                </w14:textFill>
              </w:rPr>
              <w:t>超</w:t>
            </w:r>
            <w:r>
              <w:rPr>
                <w:rFonts w:ascii="Times New Roman" w:hAnsi="Times New Roman" w:eastAsia="仿宋_GB2312" w:cs="Times New Roman"/>
                <w:color w:val="000000" w:themeColor="text1"/>
                <w:szCs w:val="21"/>
                <w14:textFill>
                  <w14:solidFill>
                    <w14:schemeClr w14:val="tx1"/>
                  </w14:solidFill>
                </w14:textFill>
              </w:rPr>
              <w:t>预期</w:t>
            </w:r>
          </w:p>
        </w:tc>
        <w:tc>
          <w:tcPr>
            <w:tcW w:w="1153" w:type="dxa"/>
            <w:vAlign w:val="center"/>
          </w:tcPr>
          <w:p w14:paraId="52BD7D85">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378A17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restart"/>
            <w:vAlign w:val="center"/>
          </w:tcPr>
          <w:p w14:paraId="76A3F032">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环境</w:t>
            </w:r>
            <w:r>
              <w:rPr>
                <w:rFonts w:ascii="Times New Roman" w:hAnsi="Times New Roman" w:eastAsia="仿宋_GB2312" w:cs="Times New Roman"/>
                <w:color w:val="000000" w:themeColor="text1"/>
                <w:szCs w:val="21"/>
                <w14:textFill>
                  <w14:solidFill>
                    <w14:schemeClr w14:val="tx1"/>
                  </w14:solidFill>
                </w14:textFill>
              </w:rPr>
              <w:br w:type="textWrapping"/>
            </w:r>
            <w:r>
              <w:rPr>
                <w:rFonts w:ascii="Times New Roman" w:hAnsi="Times New Roman" w:eastAsia="仿宋_GB2312" w:cs="Times New Roman"/>
                <w:color w:val="000000" w:themeColor="text1"/>
                <w:szCs w:val="21"/>
                <w14:textFill>
                  <w14:solidFill>
                    <w14:schemeClr w14:val="tx1"/>
                  </w14:solidFill>
                </w14:textFill>
              </w:rPr>
              <w:t>更美</w:t>
            </w:r>
          </w:p>
        </w:tc>
        <w:tc>
          <w:tcPr>
            <w:tcW w:w="2830" w:type="dxa"/>
            <w:vAlign w:val="center"/>
          </w:tcPr>
          <w:p w14:paraId="0A429F3C">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单位地区生产总值能源消耗降低（%）</w:t>
            </w:r>
          </w:p>
        </w:tc>
        <w:tc>
          <w:tcPr>
            <w:tcW w:w="1398" w:type="dxa"/>
            <w:vAlign w:val="center"/>
          </w:tcPr>
          <w:p w14:paraId="38E37805">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09802CA4">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865" w:type="dxa"/>
            <w:vAlign w:val="center"/>
          </w:tcPr>
          <w:p w14:paraId="153D345F">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680EDB1B">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1CF8764C">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1060" w:type="dxa"/>
            <w:vAlign w:val="center"/>
          </w:tcPr>
          <w:p w14:paraId="02DF1323">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42EDCACE">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约束性</w:t>
            </w:r>
          </w:p>
        </w:tc>
      </w:tr>
      <w:tr w14:paraId="5D3413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47ACED58">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501A12EC">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单位地区生产总值二氧化碳降低（%）</w:t>
            </w:r>
          </w:p>
        </w:tc>
        <w:tc>
          <w:tcPr>
            <w:tcW w:w="1398" w:type="dxa"/>
            <w:vAlign w:val="center"/>
          </w:tcPr>
          <w:p w14:paraId="1354CC4B">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372E0395">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865" w:type="dxa"/>
            <w:vAlign w:val="center"/>
          </w:tcPr>
          <w:p w14:paraId="7B4C36A7">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35D9A878">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7A20CA8C">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1060" w:type="dxa"/>
            <w:vAlign w:val="center"/>
          </w:tcPr>
          <w:p w14:paraId="57075D96">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509E1FBA">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约束性</w:t>
            </w:r>
          </w:p>
        </w:tc>
      </w:tr>
      <w:tr w14:paraId="0EA849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31D9921D">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02C73CC1">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非化石能源占一次能源消费比重（%）</w:t>
            </w:r>
          </w:p>
        </w:tc>
        <w:tc>
          <w:tcPr>
            <w:tcW w:w="1398" w:type="dxa"/>
            <w:vAlign w:val="center"/>
          </w:tcPr>
          <w:p w14:paraId="30725FE7">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2ED5E5B5">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865" w:type="dxa"/>
            <w:vAlign w:val="center"/>
          </w:tcPr>
          <w:p w14:paraId="5EDA117E">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6EDDE636">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51D5A4D8">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1060" w:type="dxa"/>
            <w:vAlign w:val="center"/>
          </w:tcPr>
          <w:p w14:paraId="0C21DCCC">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0A2027EC">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约束性</w:t>
            </w:r>
          </w:p>
        </w:tc>
      </w:tr>
      <w:tr w14:paraId="3F8606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6925DDC0">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6CB8F95F">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地表水国考、省考断面水质达到或优于III类比例（%）</w:t>
            </w:r>
          </w:p>
        </w:tc>
        <w:tc>
          <w:tcPr>
            <w:tcW w:w="1398" w:type="dxa"/>
            <w:vAlign w:val="center"/>
          </w:tcPr>
          <w:p w14:paraId="0F439D90">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30004E18">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865" w:type="dxa"/>
            <w:vAlign w:val="center"/>
          </w:tcPr>
          <w:p w14:paraId="16C0ABB7">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78883969">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1D0F5840">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1060" w:type="dxa"/>
            <w:vAlign w:val="center"/>
          </w:tcPr>
          <w:p w14:paraId="70B94053">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0DE5AF62">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约束性</w:t>
            </w:r>
          </w:p>
        </w:tc>
      </w:tr>
      <w:tr w14:paraId="51B4E2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13B6927D">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5E1E8685">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空气质量达到优良天数比例（%）</w:t>
            </w:r>
          </w:p>
        </w:tc>
        <w:tc>
          <w:tcPr>
            <w:tcW w:w="1398" w:type="dxa"/>
            <w:vAlign w:val="center"/>
          </w:tcPr>
          <w:p w14:paraId="541B969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83</w:t>
            </w:r>
          </w:p>
        </w:tc>
        <w:tc>
          <w:tcPr>
            <w:tcW w:w="865" w:type="dxa"/>
            <w:vAlign w:val="center"/>
          </w:tcPr>
          <w:p w14:paraId="416D5635">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1A90F4F1">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83</w:t>
            </w:r>
          </w:p>
        </w:tc>
        <w:tc>
          <w:tcPr>
            <w:tcW w:w="1060" w:type="dxa"/>
            <w:vAlign w:val="center"/>
          </w:tcPr>
          <w:p w14:paraId="4611722E">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26562422">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约束性</w:t>
            </w:r>
          </w:p>
        </w:tc>
      </w:tr>
      <w:tr w14:paraId="576D99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23631509">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2B2AB264">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林木覆盖率（%）</w:t>
            </w:r>
          </w:p>
        </w:tc>
        <w:tc>
          <w:tcPr>
            <w:tcW w:w="1398" w:type="dxa"/>
            <w:vAlign w:val="center"/>
          </w:tcPr>
          <w:p w14:paraId="200A820B">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20.55</w:t>
            </w:r>
          </w:p>
        </w:tc>
        <w:tc>
          <w:tcPr>
            <w:tcW w:w="865" w:type="dxa"/>
            <w:vAlign w:val="center"/>
          </w:tcPr>
          <w:p w14:paraId="4E2BA00F">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7AA844E6">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20.56</w:t>
            </w:r>
          </w:p>
        </w:tc>
        <w:tc>
          <w:tcPr>
            <w:tcW w:w="1060" w:type="dxa"/>
            <w:vAlign w:val="center"/>
          </w:tcPr>
          <w:p w14:paraId="24682983">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4B0D471A">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约束性</w:t>
            </w:r>
          </w:p>
        </w:tc>
      </w:tr>
      <w:tr w14:paraId="61EDC1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restart"/>
            <w:vAlign w:val="center"/>
          </w:tcPr>
          <w:p w14:paraId="22A0AA33">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社会文明程度更高</w:t>
            </w:r>
          </w:p>
        </w:tc>
        <w:tc>
          <w:tcPr>
            <w:tcW w:w="2830" w:type="dxa"/>
            <w:vAlign w:val="center"/>
          </w:tcPr>
          <w:p w14:paraId="08AE2938">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法治建设满意度（%）</w:t>
            </w:r>
          </w:p>
        </w:tc>
        <w:tc>
          <w:tcPr>
            <w:tcW w:w="1398" w:type="dxa"/>
            <w:vAlign w:val="center"/>
          </w:tcPr>
          <w:p w14:paraId="1C6FEFC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92</w:t>
            </w:r>
          </w:p>
        </w:tc>
        <w:tc>
          <w:tcPr>
            <w:tcW w:w="865" w:type="dxa"/>
            <w:vAlign w:val="center"/>
          </w:tcPr>
          <w:p w14:paraId="0D4EAC78">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1E3B1EC9">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92.5</w:t>
            </w:r>
          </w:p>
        </w:tc>
        <w:tc>
          <w:tcPr>
            <w:tcW w:w="1060" w:type="dxa"/>
            <w:vAlign w:val="center"/>
          </w:tcPr>
          <w:p w14:paraId="5D18B86B">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1867D1F1">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2F2F1A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792CBDE0">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447D3003">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劳动年龄人口平均受教育年限（年）</w:t>
            </w:r>
          </w:p>
        </w:tc>
        <w:tc>
          <w:tcPr>
            <w:tcW w:w="1398" w:type="dxa"/>
            <w:vAlign w:val="center"/>
          </w:tcPr>
          <w:p w14:paraId="11A7C3D3">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11.5</w:t>
            </w:r>
          </w:p>
        </w:tc>
        <w:tc>
          <w:tcPr>
            <w:tcW w:w="865" w:type="dxa"/>
            <w:vAlign w:val="center"/>
          </w:tcPr>
          <w:p w14:paraId="6C103C3C">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45E3A7AF">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lang w:bidi="ar"/>
                <w14:textFill>
                  <w14:solidFill>
                    <w14:schemeClr w14:val="tx1"/>
                  </w14:solidFill>
                </w14:textFill>
              </w:rPr>
              <w:t>11.94</w:t>
            </w:r>
          </w:p>
        </w:tc>
        <w:tc>
          <w:tcPr>
            <w:tcW w:w="1060" w:type="dxa"/>
            <w:vAlign w:val="center"/>
          </w:tcPr>
          <w:p w14:paraId="49A4AEFA">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lang w:bidi="ar"/>
                <w14:textFill>
                  <w14:solidFill>
                    <w14:schemeClr w14:val="tx1"/>
                  </w14:solidFill>
                </w14:textFill>
              </w:rPr>
              <w:t>达预期</w:t>
            </w:r>
          </w:p>
        </w:tc>
        <w:tc>
          <w:tcPr>
            <w:tcW w:w="1153" w:type="dxa"/>
            <w:vAlign w:val="center"/>
          </w:tcPr>
          <w:p w14:paraId="4DD994D2">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3B9263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3D1D39E7">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25431B3A">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社会文明程度测评指数</w:t>
            </w:r>
          </w:p>
        </w:tc>
        <w:tc>
          <w:tcPr>
            <w:tcW w:w="1398" w:type="dxa"/>
            <w:vAlign w:val="center"/>
          </w:tcPr>
          <w:p w14:paraId="1A783E6A">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90</w:t>
            </w:r>
          </w:p>
        </w:tc>
        <w:tc>
          <w:tcPr>
            <w:tcW w:w="865" w:type="dxa"/>
            <w:vAlign w:val="center"/>
          </w:tcPr>
          <w:p w14:paraId="11FF20C8">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03995BF2">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lang w:bidi="ar"/>
                <w14:textFill>
                  <w14:solidFill>
                    <w14:schemeClr w14:val="tx1"/>
                  </w14:solidFill>
                </w14:textFill>
              </w:rPr>
              <w:t>91.22</w:t>
            </w:r>
          </w:p>
        </w:tc>
        <w:tc>
          <w:tcPr>
            <w:tcW w:w="1060" w:type="dxa"/>
            <w:vAlign w:val="center"/>
          </w:tcPr>
          <w:p w14:paraId="2D690ABD">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lang w:bidi="ar"/>
                <w14:textFill>
                  <w14:solidFill>
                    <w14:schemeClr w14:val="tx1"/>
                  </w14:solidFill>
                </w14:textFill>
              </w:rPr>
              <w:t>超预期</w:t>
            </w:r>
          </w:p>
        </w:tc>
        <w:tc>
          <w:tcPr>
            <w:tcW w:w="1153" w:type="dxa"/>
            <w:vAlign w:val="center"/>
          </w:tcPr>
          <w:p w14:paraId="31CDB480">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09A749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restart"/>
            <w:vAlign w:val="center"/>
          </w:tcPr>
          <w:p w14:paraId="79EEA74F">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安全保障更有力</w:t>
            </w:r>
          </w:p>
        </w:tc>
        <w:tc>
          <w:tcPr>
            <w:tcW w:w="2830" w:type="dxa"/>
            <w:vAlign w:val="center"/>
          </w:tcPr>
          <w:p w14:paraId="53958DBD">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耕地保有量（万公顷）</w:t>
            </w:r>
          </w:p>
        </w:tc>
        <w:tc>
          <w:tcPr>
            <w:tcW w:w="1398" w:type="dxa"/>
            <w:vAlign w:val="center"/>
          </w:tcPr>
          <w:p w14:paraId="2B6B783C">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54F050D7">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865" w:type="dxa"/>
            <w:vAlign w:val="center"/>
          </w:tcPr>
          <w:p w14:paraId="225A270B">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779889CA">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31EAFE73">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1060" w:type="dxa"/>
            <w:vAlign w:val="center"/>
          </w:tcPr>
          <w:p w14:paraId="1F304331">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198E783C">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约束性</w:t>
            </w:r>
          </w:p>
        </w:tc>
      </w:tr>
      <w:tr w14:paraId="4342C3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71BE5395">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2D996A66">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粮食综合生产能力（亿斤）</w:t>
            </w:r>
          </w:p>
        </w:tc>
        <w:tc>
          <w:tcPr>
            <w:tcW w:w="1398" w:type="dxa"/>
            <w:vAlign w:val="center"/>
          </w:tcPr>
          <w:p w14:paraId="71939ADA">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保持稳定</w:t>
            </w:r>
          </w:p>
        </w:tc>
        <w:tc>
          <w:tcPr>
            <w:tcW w:w="865" w:type="dxa"/>
            <w:vAlign w:val="center"/>
          </w:tcPr>
          <w:p w14:paraId="46A88831">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4A7DA853">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保持稳定</w:t>
            </w:r>
          </w:p>
        </w:tc>
        <w:tc>
          <w:tcPr>
            <w:tcW w:w="1060" w:type="dxa"/>
            <w:vAlign w:val="center"/>
          </w:tcPr>
          <w:p w14:paraId="51AF60E7">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50255535">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12E6BC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73549DE9">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103ADB80">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公众安全感（%）</w:t>
            </w:r>
          </w:p>
        </w:tc>
        <w:tc>
          <w:tcPr>
            <w:tcW w:w="1398" w:type="dxa"/>
            <w:vAlign w:val="center"/>
          </w:tcPr>
          <w:p w14:paraId="3D0367AF">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98</w:t>
            </w:r>
          </w:p>
        </w:tc>
        <w:tc>
          <w:tcPr>
            <w:tcW w:w="865" w:type="dxa"/>
            <w:vAlign w:val="center"/>
          </w:tcPr>
          <w:p w14:paraId="46AD8887">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0A5B88B9">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99</w:t>
            </w:r>
          </w:p>
        </w:tc>
        <w:tc>
          <w:tcPr>
            <w:tcW w:w="1060" w:type="dxa"/>
            <w:vAlign w:val="center"/>
          </w:tcPr>
          <w:p w14:paraId="7498E756">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28EFCF0C">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预期性</w:t>
            </w:r>
          </w:p>
        </w:tc>
      </w:tr>
      <w:tr w14:paraId="0DF9FD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7" w:type="dxa"/>
            <w:vMerge w:val="continue"/>
            <w:vAlign w:val="center"/>
          </w:tcPr>
          <w:p w14:paraId="38CBFD61">
            <w:pPr>
              <w:widowControl/>
              <w:spacing w:line="240" w:lineRule="exact"/>
              <w:jc w:val="center"/>
              <w:rPr>
                <w:rFonts w:ascii="Times New Roman" w:hAnsi="Times New Roman" w:cs="Times New Roman"/>
                <w:color w:val="000000" w:themeColor="text1"/>
                <w:szCs w:val="21"/>
                <w14:textFill>
                  <w14:solidFill>
                    <w14:schemeClr w14:val="tx1"/>
                  </w14:solidFill>
                </w14:textFill>
              </w:rPr>
            </w:pPr>
          </w:p>
        </w:tc>
        <w:tc>
          <w:tcPr>
            <w:tcW w:w="2830" w:type="dxa"/>
            <w:vAlign w:val="center"/>
          </w:tcPr>
          <w:p w14:paraId="04C43F58">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安全生产事故发生数（件）</w:t>
            </w:r>
          </w:p>
        </w:tc>
        <w:tc>
          <w:tcPr>
            <w:tcW w:w="1398" w:type="dxa"/>
            <w:vAlign w:val="center"/>
          </w:tcPr>
          <w:p w14:paraId="77BEC2EB">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6C48BB29">
            <w:pPr>
              <w:widowControl/>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865" w:type="dxa"/>
            <w:vAlign w:val="center"/>
          </w:tcPr>
          <w:p w14:paraId="3D411599">
            <w:pPr>
              <w:spacing w:line="24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w:t>
            </w:r>
          </w:p>
        </w:tc>
        <w:tc>
          <w:tcPr>
            <w:tcW w:w="1278" w:type="dxa"/>
            <w:vAlign w:val="center"/>
          </w:tcPr>
          <w:p w14:paraId="04E6523F">
            <w:pPr>
              <w:widowControl/>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完成市</w:t>
            </w:r>
          </w:p>
          <w:p w14:paraId="12EDEF31">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定目标</w:t>
            </w:r>
          </w:p>
        </w:tc>
        <w:tc>
          <w:tcPr>
            <w:tcW w:w="1060" w:type="dxa"/>
            <w:vAlign w:val="center"/>
          </w:tcPr>
          <w:p w14:paraId="4CFDD609">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达预期</w:t>
            </w:r>
          </w:p>
        </w:tc>
        <w:tc>
          <w:tcPr>
            <w:tcW w:w="1153" w:type="dxa"/>
            <w:vAlign w:val="center"/>
          </w:tcPr>
          <w:p w14:paraId="4108E9B1">
            <w:pPr>
              <w:spacing w:line="240" w:lineRule="exact"/>
              <w:jc w:val="center"/>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约束性</w:t>
            </w:r>
          </w:p>
        </w:tc>
      </w:tr>
      <w:bookmarkEnd w:id="16"/>
    </w:tbl>
    <w:p w14:paraId="4A8494AF">
      <w:pPr>
        <w:keepNext/>
        <w:widowControl/>
        <w:spacing w:before="156" w:beforeLines="50" w:after="156" w:afterLines="50" w:line="587"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8" w:name="_Toc218695824"/>
      <w:r>
        <w:rPr>
          <w:rFonts w:ascii="Times New Roman" w:hAnsi="Times New Roman" w:eastAsia="方正楷体_GBK" w:cs="Times New Roman"/>
          <w:color w:val="000000" w:themeColor="text1"/>
          <w:kern w:val="0"/>
          <w:sz w:val="32"/>
          <w:szCs w:val="32"/>
          <w14:textFill>
            <w14:solidFill>
              <w14:schemeClr w14:val="tx1"/>
            </w14:solidFill>
          </w14:textFill>
        </w:rPr>
        <w:t>第二节  主要经验</w:t>
      </w:r>
      <w:bookmarkEnd w:id="18"/>
    </w:p>
    <w:p w14:paraId="5B48CD12">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坚持高位谋划、高标引领，树高远目标、谋系统布局，推动金湖高质量发展。</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确立“长三角智造金谷、现代化水韵湖城”的发展远景，一方面聚力推进新型工业化，在智能制造、数字经济上做强做优，深度融入长三角产业协作体系；另一方面聚力彰显水韵特征，发挥金湖生态优势，建设宜居宜业宜游的魅力品质金湖。明确争创全国百强、全省先进、全市第一的高远目标，激发斗志、强化预期，引领金湖干部以更大格局、更宽视野推动高质量发展。</w:t>
      </w:r>
    </w:p>
    <w:p w14:paraId="12F02108">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坚持高点定位、精准发力，以项目为王、立产业强县，筑牢现代化建设坚实基础。</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实施“融入融合、双招双引、美丽生金、共富共享”四大战略，向城市群、都市圈借力借势，推进产业链、人才链、创新链、资金链融合发展，推进实施“产业扩量提质、生态特色彰显、城乡内涵提升、动能集聚迸发、百姓幸福安康”五大工程。提出“工业产值超千亿、绿色低碳高质量”奋斗目标，紧扣产业主线，突出重点重抓，筑牢县域发展的关键支撑，念好外引、内培、优服务、强载体“十字诀”，开年抓谋划、唱好“四季歌”、月度抓重点，成为全市工业发展、均衡发展的标杆。</w:t>
      </w:r>
    </w:p>
    <w:p w14:paraId="212FDC31">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坚持守正创新、聚力攻坚，融重大战略、聚创新要素，凝聚高质量发展动力。</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抢抓长三角一体化、南京都市圈发展等重大战略机遇，在把握大局大势中集聚资源、拓展空间，构建完善产业全链条孵化育成体系。充分调动人的积极因素，抓好高素质干部、高层次创新创业人才、高技能产业工人和市民群体“四支队伍”，有效营造一条心、一起拼的良好干事创业氛围。</w:t>
      </w:r>
    </w:p>
    <w:p w14:paraId="441F04B0">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坚持美丽生金、民生为本，促绿色转型、拓发展空间，绘就协调融合共兴图景。</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坚决扛起“在绿色低碳发展上先行先试”的使命担当，协同推进降碳、减污、扩绿、增长，系统推进全域旅游、生态农业、绿色能源等多元转化路径。始终把为民造福作为最大政绩，坚持人民有所呼、改革有所应，构建“共建共享、共富共荣”的发展共同体，打造安居乐业、近悦远来的县域生态。</w:t>
      </w:r>
    </w:p>
    <w:p w14:paraId="7503B950">
      <w:pPr>
        <w:keepNext/>
        <w:widowControl/>
        <w:spacing w:before="156" w:beforeLines="50" w:after="156" w:afterLines="50" w:line="587"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9" w:name="_Toc218695825"/>
      <w:r>
        <w:rPr>
          <w:rFonts w:ascii="Times New Roman" w:hAnsi="Times New Roman" w:eastAsia="方正楷体_GBK" w:cs="Times New Roman"/>
          <w:color w:val="000000" w:themeColor="text1"/>
          <w:kern w:val="0"/>
          <w:sz w:val="32"/>
          <w:szCs w:val="32"/>
          <w14:textFill>
            <w14:solidFill>
              <w14:schemeClr w14:val="tx1"/>
            </w14:solidFill>
          </w14:textFill>
        </w:rPr>
        <w:t>第三节  宏观形势</w:t>
      </w:r>
      <w:bookmarkEnd w:id="19"/>
    </w:p>
    <w:p w14:paraId="2AE9290D">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bookmarkStart w:id="20" w:name="_Toc213057387"/>
      <w:bookmarkStart w:id="21" w:name="_Toc214978087"/>
      <w:bookmarkStart w:id="22" w:name="_Toc45628006"/>
      <w:bookmarkStart w:id="23" w:name="_Toc213057403"/>
      <w:bookmarkStart w:id="24" w:name="_Toc1287841557"/>
      <w:r>
        <w:rPr>
          <w:rFonts w:ascii="Times New Roman" w:hAnsi="Times New Roman" w:eastAsia="方正楷体_GBK" w:cs="Times New Roman"/>
          <w:color w:val="000000" w:themeColor="text1"/>
          <w:sz w:val="32"/>
          <w:szCs w:val="32"/>
          <w14:textFill>
            <w14:solidFill>
              <w14:schemeClr w14:val="tx1"/>
            </w14:solidFill>
          </w14:textFill>
        </w:rPr>
        <w:t>从国际看，</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百年变局加速演进，地缘冲突易发多发，单边主义、保护主义抬头，霸权主义和强权政治威胁上升，商品、资源、技术、资本、人才等要素合理流动受限，国际经济贸易秩序遇到严峻挑战，世界经济增长动能不足。新一轮科技革命和产业变革加速突破，</w:t>
      </w:r>
      <w:r>
        <w:rPr>
          <w:rFonts w:ascii="Times New Roman" w:hAnsi="Times New Roman" w:eastAsia="方正仿宋_GBK" w:cs="Times New Roman"/>
          <w:color w:val="000000" w:themeColor="text1"/>
          <w:sz w:val="32"/>
          <w:szCs w:val="32"/>
          <w14:textFill>
            <w14:solidFill>
              <w14:schemeClr w14:val="tx1"/>
            </w14:solidFill>
          </w14:textFill>
        </w:rPr>
        <w:t>新技术、新产业、新业态、新模式不断涌现，将在众多领域催生大量新供给、新需求。面对挑战机遇，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金湖要在积极应对不确定</w:t>
      </w:r>
      <w:r>
        <w:rPr>
          <w:rFonts w:ascii="Times New Roman" w:hAnsi="Times New Roman" w:eastAsia="方正仿宋_GBK" w:cs="Times New Roman"/>
          <w:color w:val="000000" w:themeColor="text1"/>
          <w:sz w:val="32"/>
          <w:szCs w:val="32"/>
          <w14:textFill>
            <w14:solidFill>
              <w14:schemeClr w14:val="tx1"/>
            </w14:solidFill>
          </w14:textFill>
        </w:rPr>
        <w:t>风险中寻求更多确定性</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机遇，紧抓新一轮科技革命和全球产业链重塑等新机遇，强化高端装备制造、新材料、大健康等产业在全球产业链供应链中的主动权</w:t>
      </w:r>
      <w:r>
        <w:rPr>
          <w:rFonts w:ascii="Times New Roman" w:hAnsi="Times New Roman" w:eastAsia="方正仿宋_GBK" w:cs="Times New Roman"/>
          <w:color w:val="000000" w:themeColor="text1"/>
          <w:sz w:val="32"/>
          <w:szCs w:val="32"/>
          <w14:textFill>
            <w14:solidFill>
              <w14:schemeClr w14:val="tx1"/>
            </w14:solidFill>
          </w14:textFill>
        </w:rPr>
        <w:t>，推动制造业数智化创新</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，实现产业结构优化调整和跨越式提升。</w:t>
      </w:r>
    </w:p>
    <w:p w14:paraId="4DD89C48">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从国内看，</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经济基础稳、优势多、韧性强、潜能大，长期向好的支撑条件和基本趋势没有变，中国特色社会主义制度优势、超大规模市场优势、完整产业体系优势、丰富人才资源优势更加彰显。特别是在以习近平同志为核心的党中央坚强领导下，宏观治理经验更加丰富、机制更加完善、手段更加精细，完全有能力为经济行稳致远和社会和谐稳定保驾护航，续写经济快速发展和社会长期稳定新篇章。金湖要加快推动习近平总书记重要讲话重要指示精神落地生根、开花结果，因地制宜发展新质生产力，加快区域融合赋能高质量发展，在促进全体人民共同富裕上做出成绩，推进中国式现代化金湖实践取得新的更大突破。</w:t>
      </w:r>
    </w:p>
    <w:p w14:paraId="09F057B7">
      <w:pPr>
        <w:spacing w:line="56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从江苏看，</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作为经济大省、开放大省，在长期发展中形成了雄厚的物质技术基础，实体经济不断壮大，科技创新氛围日益浓厚，新质生产力发展势头良好。同时也面临有效需求不足、新旧动能转换任务艰巨、就业和居民增收压力较大等多重挑战，产业结构、人口结构、城乡区域结构、能源结构的变化也对经济发展、社会治理等提出一系列新课题。金湖要依托长三角一体化、南京都市圈、江淮生态经济区等重大战略，紧跟数字经济、绿色低碳、乡村振兴等发展大势，</w:t>
      </w:r>
      <w:r>
        <w:rPr>
          <w:rFonts w:ascii="Times New Roman" w:hAnsi="Times New Roman" w:eastAsia="方正仿宋_GBK" w:cs="Times New Roman"/>
          <w:color w:val="000000" w:themeColor="text1"/>
          <w:sz w:val="32"/>
          <w:szCs w:val="32"/>
          <w14:textFill>
            <w14:solidFill>
              <w14:schemeClr w14:val="tx1"/>
            </w14:solidFill>
          </w14:textFill>
        </w:rPr>
        <w:t>把握更多改革探索机遇，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破解县域发展的瓶颈制约，加速量质提升跨越赶超。</w:t>
      </w:r>
    </w:p>
    <w:p w14:paraId="6461CDFC">
      <w:pPr>
        <w:pStyle w:val="29"/>
        <w:spacing w:after="0" w:line="560" w:lineRule="exact"/>
        <w:ind w:left="0" w:leftChars="0" w:firstLine="645" w:firstLineChars="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从淮安看，</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作为千年运河之都和历史文化名城，地处长三角经济圈，是全省“1+3”重点功能区江淮生态经济区的核心区，具有优越的区位优势和显著的生态优势。“十五五”时期，淮安长三角北部现代化中心城市将取得突破性进展，更好展示“象征意义”发展定位，扎实推进现代化经济建设“三步走”策略，加快发展新一代信息技术、新能源、汽车及零部件、新材料、食品大健康等五大主导产业。金湖要主动融入淮安发展全局，强化区域分工协作，深度“链”接产业集群和科创资源，加速产业转型和跨越发展，进一步将生态资源禀赋转化为产业创新势能，为产业强县汇聚动能。</w:t>
      </w:r>
    </w:p>
    <w:p w14:paraId="172839D4">
      <w:pPr>
        <w:keepNext/>
        <w:widowControl/>
        <w:spacing w:before="156" w:beforeLines="50" w:after="156" w:afterLines="50" w:line="587"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25" w:name="_Toc218695826"/>
      <w:r>
        <w:rPr>
          <w:rFonts w:ascii="Times New Roman" w:hAnsi="Times New Roman" w:eastAsia="方正楷体_GBK" w:cs="Times New Roman"/>
          <w:color w:val="000000" w:themeColor="text1"/>
          <w:kern w:val="0"/>
          <w:sz w:val="32"/>
          <w:szCs w:val="32"/>
          <w14:textFill>
            <w14:solidFill>
              <w14:schemeClr w14:val="tx1"/>
            </w14:solidFill>
          </w14:textFill>
        </w:rPr>
        <w:t>第四节  阶段特征</w:t>
      </w:r>
      <w:bookmarkEnd w:id="25"/>
    </w:p>
    <w:p w14:paraId="7D3F4876">
      <w:pPr>
        <w:spacing w:line="560" w:lineRule="exact"/>
        <w:ind w:firstLine="641"/>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bookmarkStart w:id="26" w:name="_Hlk203375413"/>
      <w:r>
        <w:rPr>
          <w:rFonts w:ascii="Times New Roman" w:hAnsi="Times New Roman" w:eastAsia="方正楷体_GBK" w:cs="Times New Roman"/>
          <w:color w:val="000000" w:themeColor="text1"/>
          <w:kern w:val="0"/>
          <w:sz w:val="32"/>
          <w:szCs w:val="32"/>
          <w14:textFill>
            <w14:solidFill>
              <w14:schemeClr w14:val="tx1"/>
            </w14:solidFill>
          </w14:textFill>
        </w:rPr>
        <w:t>经济发展和产业创新</w:t>
      </w:r>
      <w:bookmarkEnd w:id="26"/>
      <w:r>
        <w:rPr>
          <w:rFonts w:ascii="Times New Roman" w:hAnsi="Times New Roman" w:eastAsia="方正楷体_GBK" w:cs="Times New Roman"/>
          <w:color w:val="000000" w:themeColor="text1"/>
          <w:kern w:val="0"/>
          <w:sz w:val="32"/>
          <w:szCs w:val="32"/>
          <w14:textFill>
            <w14:solidFill>
              <w14:schemeClr w14:val="tx1"/>
            </w14:solidFill>
          </w14:textFill>
        </w:rPr>
        <w:t>进入转型攻坚期。</w:t>
      </w:r>
      <w:r>
        <w:rPr>
          <w:rFonts w:ascii="Times New Roman" w:hAnsi="Times New Roman" w:eastAsia="方正仿宋_GBK" w:cs="Times New Roman"/>
          <w:color w:val="000000" w:themeColor="text1"/>
          <w:kern w:val="0"/>
          <w:sz w:val="32"/>
          <w:szCs w:val="32"/>
          <w14:textFill>
            <w14:solidFill>
              <w14:schemeClr w14:val="tx1"/>
            </w14:solidFill>
          </w14:textFill>
        </w:rPr>
        <w:t>金湖</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工业经济稳步向好，主导产业加速集聚发展。但总量不足仍是全县经济发展的主要矛盾，亟待深度对接外部产业和科创资源以提升经济能级，战略性新兴产业、未来产业和生产性服务业有待发展提升，消费场景供给不足，贸易结构较为单一。“十五五”时期，金湖将进入转型攻坚期，要积极培育和发展新质生产力，坚持把项目攻坚作为稳增长重要支撑，突出产业智能化、绿色化、融合化主攻方向，统筹推进传统产业焕新、新兴产业壮大、未来产业培育，为工业强县筑牢实体经济根基。</w:t>
      </w:r>
    </w:p>
    <w:p w14:paraId="7FCBDDE2">
      <w:pPr>
        <w:spacing w:line="560" w:lineRule="exact"/>
        <w:ind w:firstLine="641"/>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区域战略和对接融合进入加速发展期。</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金湖加快完善交通运输网络，随着宁淮高铁、金禄高速、金宝航道等重大对外交通工程全面建成，区域资源配置能力将显著增强。但仍需加快枢纽经济布局，不断提升区域协同发展水平。“十五五”时期，金湖将进入加速发展期，要加强与省市区域部署同频共振，全面塑造“公铁水空”立体交通优势，参与建设苏皖环高邮湖绿色一体化融合发展区，深度融入长三角一体化、南京都市圈等重大战略。</w:t>
      </w:r>
    </w:p>
    <w:p w14:paraId="4B0C3397">
      <w:pPr>
        <w:spacing w:line="560" w:lineRule="exact"/>
        <w:ind w:firstLine="641"/>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城乡融合和乡村振兴进入重要窗口期。</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金湖新型城镇化和乡村振兴正稳步发展，和美乡村建设步伐加快，城乡面貌持续改善。但县城区辐射带动能力有待提升，城乡融合力度需要加大。“十五五”时期，金湖进入重要窗口期，要</w:t>
      </w:r>
      <w:bookmarkStart w:id="27" w:name="_Hlk215741524"/>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推进以县域为单元的城乡融合发展、以县城为重要载体的新型城镇化建设，持续巩固乡村振兴成果，拓展县域发展空间，释放城乡发展潜力，以特色片区和产业集聚为抓手，围绕城乡优势互补和产业协同持续发力</w:t>
      </w:r>
      <w:bookmarkEnd w:id="27"/>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bookmarkStart w:id="28" w:name="_Hlk203375451"/>
    </w:p>
    <w:p w14:paraId="2E2417E0">
      <w:pPr>
        <w:spacing w:line="560" w:lineRule="exact"/>
        <w:ind w:firstLine="641"/>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绿色低碳和循环发展</w:t>
      </w:r>
      <w:bookmarkEnd w:id="28"/>
      <w:r>
        <w:rPr>
          <w:rFonts w:ascii="Times New Roman" w:hAnsi="Times New Roman" w:eastAsia="方正楷体_GBK" w:cs="Times New Roman"/>
          <w:color w:val="000000" w:themeColor="text1"/>
          <w:kern w:val="0"/>
          <w:sz w:val="32"/>
          <w:szCs w:val="32"/>
          <w14:textFill>
            <w14:solidFill>
              <w14:schemeClr w14:val="tx1"/>
            </w14:solidFill>
          </w14:textFill>
        </w:rPr>
        <w:t>进入</w:t>
      </w:r>
      <w:bookmarkStart w:id="29" w:name="_Hlk203375460"/>
      <w:r>
        <w:rPr>
          <w:rFonts w:ascii="Times New Roman" w:hAnsi="Times New Roman" w:eastAsia="方正楷体_GBK" w:cs="Times New Roman"/>
          <w:color w:val="000000" w:themeColor="text1"/>
          <w:kern w:val="0"/>
          <w:sz w:val="32"/>
          <w:szCs w:val="32"/>
          <w14:textFill>
            <w14:solidFill>
              <w14:schemeClr w14:val="tx1"/>
            </w14:solidFill>
          </w14:textFill>
        </w:rPr>
        <w:t>变革突破期</w:t>
      </w:r>
      <w:bookmarkEnd w:id="29"/>
      <w:r>
        <w:rPr>
          <w:rFonts w:ascii="Times New Roman" w:hAnsi="Times New Roman" w:eastAsia="方正楷体_GBK" w:cs="Times New Roman"/>
          <w:color w:val="000000" w:themeColor="text1"/>
          <w:kern w:val="0"/>
          <w:sz w:val="32"/>
          <w:szCs w:val="32"/>
          <w14:textFill>
            <w14:solidFill>
              <w14:schemeClr w14:val="tx1"/>
            </w14:solidFill>
          </w14:textFill>
        </w:rPr>
        <w:t>。</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金湖厚植绿色生态优势，协同推进降碳、减污、扩绿、增长，绿色发展走在省市前列。但对标生态文明建设新要求，金湖生态环境更高水平保持需和经济更高质量发展协同推进，全面绿色转型进程有待提速，生态优势转化为经济优势路径有待深度探索。“十五五”时期，金湖将进入变革突破期，必须统筹协调分类施策，大力发展绿色产业，提高资源利用效率，加快绿色低碳转型取得新突破，高质量实现生态环境优化目标。</w:t>
      </w:r>
    </w:p>
    <w:p w14:paraId="39B4B50E">
      <w:pPr>
        <w:spacing w:line="560" w:lineRule="exact"/>
        <w:ind w:firstLine="641"/>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bookmarkStart w:id="30" w:name="_Hlk200730658"/>
      <w:r>
        <w:rPr>
          <w:rFonts w:ascii="Times New Roman" w:hAnsi="Times New Roman" w:eastAsia="方正楷体_GBK" w:cs="Times New Roman"/>
          <w:color w:val="000000" w:themeColor="text1"/>
          <w:kern w:val="0"/>
          <w:sz w:val="32"/>
          <w:szCs w:val="32"/>
          <w14:textFill>
            <w14:solidFill>
              <w14:schemeClr w14:val="tx1"/>
            </w14:solidFill>
          </w14:textFill>
        </w:rPr>
        <w:t>民生保障和公共服务</w:t>
      </w:r>
      <w:bookmarkEnd w:id="30"/>
      <w:r>
        <w:rPr>
          <w:rFonts w:ascii="Times New Roman" w:hAnsi="Times New Roman" w:eastAsia="方正楷体_GBK" w:cs="Times New Roman"/>
          <w:color w:val="000000" w:themeColor="text1"/>
          <w:kern w:val="0"/>
          <w:sz w:val="32"/>
          <w:szCs w:val="32"/>
          <w14:textFill>
            <w14:solidFill>
              <w14:schemeClr w14:val="tx1"/>
            </w14:solidFill>
          </w14:textFill>
        </w:rPr>
        <w:t>进入品质提升期。</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金湖围绕教育卫生、就业创业、养老扶弱、公共安全等领域，打造“金城服务”民生品牌。但仍面临人民群众对更高水平医疗服务、更高质量的教育、更加健全的社会保障体系的需求，就业和居民收入增长压力较大，人口规模小和结构变化给经济发展、社会治理带来更大挑战。“十五五”时期，金湖将进入品质提升期，要推动民生供给从基础普惠向高水平转变，着力应对少子化、老龄化趋势，扎实推进共同富裕，推动现代化建设成果更多更公平惠及全体居民。</w:t>
      </w:r>
    </w:p>
    <w:p w14:paraId="36461521">
      <w:pPr>
        <w:pStyle w:val="29"/>
        <w:spacing w:line="560" w:lineRule="exact"/>
        <w:rPr>
          <w:rFonts w:ascii="Times New Roman" w:hAnsi="Times New Roman" w:cs="Times New Roman"/>
        </w:rPr>
      </w:pPr>
    </w:p>
    <w:p w14:paraId="6492BB44">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31" w:name="_Toc218695827"/>
      <w:r>
        <w:rPr>
          <w:rFonts w:ascii="Times New Roman" w:hAnsi="Times New Roman" w:eastAsia="方正黑体_GBK" w:cs="Times New Roman"/>
          <w:color w:val="000000" w:themeColor="text1"/>
          <w:kern w:val="0"/>
          <w:sz w:val="32"/>
          <w:szCs w:val="32"/>
          <w14:textFill>
            <w14:solidFill>
              <w14:schemeClr w14:val="tx1"/>
            </w14:solidFill>
          </w14:textFill>
        </w:rPr>
        <w:t>第二章  总体要求</w:t>
      </w:r>
      <w:bookmarkEnd w:id="20"/>
      <w:bookmarkEnd w:id="21"/>
      <w:bookmarkEnd w:id="22"/>
      <w:r>
        <w:rPr>
          <w:rFonts w:ascii="Times New Roman" w:hAnsi="Times New Roman" w:eastAsia="方正黑体_GBK" w:cs="Times New Roman"/>
          <w:color w:val="000000" w:themeColor="text1"/>
          <w:kern w:val="0"/>
          <w:sz w:val="32"/>
          <w:szCs w:val="32"/>
          <w14:textFill>
            <w14:solidFill>
              <w14:schemeClr w14:val="tx1"/>
            </w14:solidFill>
          </w14:textFill>
        </w:rPr>
        <w:t>与目标愿景</w:t>
      </w:r>
      <w:bookmarkEnd w:id="31"/>
    </w:p>
    <w:p w14:paraId="6C271018">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32" w:name="_Toc218695828"/>
      <w:r>
        <w:rPr>
          <w:rFonts w:ascii="Times New Roman" w:hAnsi="Times New Roman" w:eastAsia="方正楷体_GBK" w:cs="Times New Roman"/>
          <w:color w:val="000000" w:themeColor="text1"/>
          <w:kern w:val="0"/>
          <w:sz w:val="32"/>
          <w:szCs w:val="32"/>
          <w14:textFill>
            <w14:solidFill>
              <w14:schemeClr w14:val="tx1"/>
            </w14:solidFill>
          </w14:textFill>
        </w:rPr>
        <w:t>第一节  指导思想</w:t>
      </w:r>
      <w:bookmarkEnd w:id="32"/>
    </w:p>
    <w:p w14:paraId="31A1543E">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做好“十五五”时期经济社会发展各项工作，要坚持以习近平新时代中国特色社会主义思想为</w:t>
      </w:r>
      <w:r>
        <w:rPr>
          <w:rFonts w:ascii="Times New Roman" w:hAnsi="Times New Roman" w:eastAsia="方正黑体_GBK" w:cs="Times New Roman"/>
          <w:color w:val="000000" w:themeColor="text1"/>
          <w:kern w:val="0"/>
          <w:sz w:val="32"/>
          <w:szCs w:val="32"/>
          <w14:textFill>
            <w14:solidFill>
              <w14:schemeClr w14:val="tx1"/>
            </w14:solidFill>
          </w14:textFill>
        </w:rPr>
        <w:t>指导</w:t>
      </w:r>
      <w:r>
        <w:rPr>
          <w:rFonts w:ascii="Times New Roman" w:hAnsi="Times New Roman" w:eastAsia="方正仿宋_GBK" w:cs="Times New Roman"/>
          <w:color w:val="000000" w:themeColor="text1"/>
          <w:kern w:val="0"/>
          <w:sz w:val="32"/>
          <w:szCs w:val="32"/>
          <w14:textFill>
            <w14:solidFill>
              <w14:schemeClr w14:val="tx1"/>
            </w14:solidFill>
          </w14:textFill>
        </w:rPr>
        <w:t>，全面贯彻落实党的二十大和</w:t>
      </w:r>
      <w:bookmarkStart w:id="33" w:name="OLE_LINK3"/>
      <w:r>
        <w:rPr>
          <w:rFonts w:ascii="Times New Roman" w:hAnsi="Times New Roman" w:eastAsia="方正仿宋_GBK" w:cs="Times New Roman"/>
          <w:color w:val="000000" w:themeColor="text1"/>
          <w:kern w:val="0"/>
          <w:sz w:val="32"/>
          <w:szCs w:val="32"/>
          <w14:textFill>
            <w14:solidFill>
              <w14:schemeClr w14:val="tx1"/>
            </w14:solidFill>
          </w14:textFill>
        </w:rPr>
        <w:t>二十届</w:t>
      </w:r>
      <w:bookmarkEnd w:id="33"/>
      <w:r>
        <w:rPr>
          <w:rFonts w:ascii="Times New Roman" w:hAnsi="Times New Roman" w:eastAsia="方正仿宋_GBK" w:cs="Times New Roman"/>
          <w:color w:val="000000" w:themeColor="text1"/>
          <w:kern w:val="0"/>
          <w:sz w:val="32"/>
          <w:szCs w:val="32"/>
          <w14:textFill>
            <w14:solidFill>
              <w14:schemeClr w14:val="tx1"/>
            </w14:solidFill>
          </w14:textFill>
        </w:rPr>
        <w:t>历次全会精神，认真学习贯彻习近平总书记对江苏工作重要讲话重要指示精神、对淮安殷切嘱托，积极融入我省“一中心一基地一枢纽”定位和淮安“长三角北部现代化中心城市”定位，完整准确全面贯彻新发展理念，服务和融入构建新发展格局，坚持稳中求进工作总基调，坚持以经济建设为</w:t>
      </w:r>
      <w:r>
        <w:rPr>
          <w:rFonts w:ascii="Times New Roman" w:hAnsi="Times New Roman" w:eastAsia="方正黑体_GBK" w:cs="Times New Roman"/>
          <w:color w:val="000000" w:themeColor="text1"/>
          <w:kern w:val="0"/>
          <w:sz w:val="32"/>
          <w:szCs w:val="32"/>
          <w14:textFill>
            <w14:solidFill>
              <w14:schemeClr w14:val="tx1"/>
            </w14:solidFill>
          </w14:textFill>
        </w:rPr>
        <w:t>中心</w:t>
      </w:r>
      <w:r>
        <w:rPr>
          <w:rFonts w:ascii="Times New Roman" w:hAnsi="Times New Roman" w:eastAsia="方正仿宋_GBK" w:cs="Times New Roman"/>
          <w:color w:val="000000" w:themeColor="text1"/>
          <w:kern w:val="0"/>
          <w:sz w:val="32"/>
          <w:szCs w:val="32"/>
          <w14:textFill>
            <w14:solidFill>
              <w14:schemeClr w14:val="tx1"/>
            </w14:solidFill>
          </w14:textFill>
        </w:rPr>
        <w:t>，以推动高质量发展为</w:t>
      </w:r>
      <w:r>
        <w:rPr>
          <w:rFonts w:ascii="Times New Roman" w:hAnsi="Times New Roman" w:eastAsia="方正黑体_GBK" w:cs="Times New Roman"/>
          <w:color w:val="000000" w:themeColor="text1"/>
          <w:kern w:val="0"/>
          <w:sz w:val="32"/>
          <w:szCs w:val="32"/>
          <w14:textFill>
            <w14:solidFill>
              <w14:schemeClr w14:val="tx1"/>
            </w14:solidFill>
          </w14:textFill>
        </w:rPr>
        <w:t>主题</w:t>
      </w:r>
      <w:r>
        <w:rPr>
          <w:rFonts w:ascii="Times New Roman" w:hAnsi="Times New Roman" w:eastAsia="方正仿宋_GBK" w:cs="Times New Roman"/>
          <w:color w:val="000000" w:themeColor="text1"/>
          <w:kern w:val="0"/>
          <w:sz w:val="32"/>
          <w:szCs w:val="32"/>
          <w14:textFill>
            <w14:solidFill>
              <w14:schemeClr w14:val="tx1"/>
            </w14:solidFill>
          </w14:textFill>
        </w:rPr>
        <w:t>，以改革创新为</w:t>
      </w:r>
      <w:r>
        <w:rPr>
          <w:rFonts w:ascii="Times New Roman" w:hAnsi="Times New Roman" w:eastAsia="方正黑体_GBK" w:cs="Times New Roman"/>
          <w:color w:val="000000" w:themeColor="text1"/>
          <w:kern w:val="0"/>
          <w:sz w:val="32"/>
          <w:szCs w:val="32"/>
          <w14:textFill>
            <w14:solidFill>
              <w14:schemeClr w14:val="tx1"/>
            </w14:solidFill>
          </w14:textFill>
        </w:rPr>
        <w:t>根本动力</w:t>
      </w:r>
      <w:r>
        <w:rPr>
          <w:rFonts w:ascii="Times New Roman" w:hAnsi="Times New Roman" w:eastAsia="方正仿宋_GBK" w:cs="Times New Roman"/>
          <w:color w:val="000000" w:themeColor="text1"/>
          <w:kern w:val="0"/>
          <w:sz w:val="32"/>
          <w:szCs w:val="32"/>
          <w14:textFill>
            <w14:solidFill>
              <w14:schemeClr w14:val="tx1"/>
            </w14:solidFill>
          </w14:textFill>
        </w:rPr>
        <w:t>，以满足人民日益增长的美好生活需要为</w:t>
      </w:r>
      <w:r>
        <w:rPr>
          <w:rFonts w:ascii="Times New Roman" w:hAnsi="Times New Roman" w:eastAsia="方正黑体_GBK" w:cs="Times New Roman"/>
          <w:color w:val="000000" w:themeColor="text1"/>
          <w:kern w:val="0"/>
          <w:sz w:val="32"/>
          <w:szCs w:val="32"/>
          <w14:textFill>
            <w14:solidFill>
              <w14:schemeClr w14:val="tx1"/>
            </w14:solidFill>
          </w14:textFill>
        </w:rPr>
        <w:t>根本目的</w:t>
      </w:r>
      <w:r>
        <w:rPr>
          <w:rFonts w:ascii="Times New Roman" w:hAnsi="Times New Roman" w:eastAsia="方正仿宋_GBK" w:cs="Times New Roman"/>
          <w:color w:val="000000" w:themeColor="text1"/>
          <w:kern w:val="0"/>
          <w:sz w:val="32"/>
          <w:szCs w:val="32"/>
          <w14:textFill>
            <w14:solidFill>
              <w14:schemeClr w14:val="tx1"/>
            </w14:solidFill>
          </w14:textFill>
        </w:rPr>
        <w:t>，以全面从严治党为</w:t>
      </w:r>
      <w:r>
        <w:rPr>
          <w:rFonts w:ascii="Times New Roman" w:hAnsi="Times New Roman" w:eastAsia="方正黑体_GBK" w:cs="Times New Roman"/>
          <w:color w:val="000000" w:themeColor="text1"/>
          <w:kern w:val="0"/>
          <w:sz w:val="32"/>
          <w:szCs w:val="32"/>
          <w14:textFill>
            <w14:solidFill>
              <w14:schemeClr w14:val="tx1"/>
            </w14:solidFill>
          </w14:textFill>
        </w:rPr>
        <w:t>根本保障</w:t>
      </w:r>
      <w:r>
        <w:rPr>
          <w:rFonts w:ascii="Times New Roman" w:hAnsi="Times New Roman" w:eastAsia="方正仿宋_GBK" w:cs="Times New Roman"/>
          <w:color w:val="000000" w:themeColor="text1"/>
          <w:kern w:val="0"/>
          <w:sz w:val="32"/>
          <w:szCs w:val="32"/>
          <w14:textFill>
            <w14:solidFill>
              <w14:schemeClr w14:val="tx1"/>
            </w14:solidFill>
          </w14:textFill>
        </w:rPr>
        <w:t>，更好统筹高质量发展和高水平安全，着力提升产业体系核心竞争力，强化绿色低碳发展续航力，激发县域共同富裕内生力，增强区域协同合作融合力，奋力谱写县域经济社会高质量发展新篇章，推动人的全面发展、全体人民共同富裕迈出坚实步伐，确保基本实现社会主义现代化取得决定性进展。</w:t>
      </w:r>
    </w:p>
    <w:p w14:paraId="15299B2E">
      <w:pPr>
        <w:keepNext/>
        <w:widowControl/>
        <w:spacing w:before="156" w:beforeLines="50" w:after="156" w:afterLines="50" w:line="587"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34" w:name="_Toc218695829"/>
      <w:r>
        <w:rPr>
          <w:rFonts w:ascii="Times New Roman" w:hAnsi="Times New Roman" w:eastAsia="方正楷体_GBK" w:cs="Times New Roman"/>
          <w:color w:val="000000" w:themeColor="text1"/>
          <w:kern w:val="0"/>
          <w:sz w:val="32"/>
          <w:szCs w:val="32"/>
          <w14:textFill>
            <w14:solidFill>
              <w14:schemeClr w14:val="tx1"/>
            </w14:solidFill>
          </w14:textFill>
        </w:rPr>
        <w:t>第二节  发展定位</w:t>
      </w:r>
      <w:bookmarkEnd w:id="34"/>
    </w:p>
    <w:p w14:paraId="7832E037">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基于金湖资源禀赋、产业基础及未来趋势，结合市委市政府赋予金湖的目标定位、重要要求，着眼战略全局，继往开来，锚定</w:t>
      </w:r>
      <w:r>
        <w:rPr>
          <w:rFonts w:ascii="Times New Roman" w:hAnsi="Times New Roman" w:eastAsia="方正黑体_GBK" w:cs="Times New Roman"/>
          <w:color w:val="000000" w:themeColor="text1"/>
          <w:kern w:val="0"/>
          <w:sz w:val="32"/>
          <w:szCs w:val="32"/>
          <w14:textFill>
            <w14:solidFill>
              <w14:schemeClr w14:val="tx1"/>
            </w14:solidFill>
          </w14:textFill>
        </w:rPr>
        <w:t>“长三角智造金谷、现代化水韵湖城、新时代荷美田园”</w:t>
      </w:r>
      <w:r>
        <w:rPr>
          <w:rFonts w:ascii="Times New Roman" w:hAnsi="Times New Roman" w:eastAsia="方正仿宋_GBK" w:cs="Times New Roman"/>
          <w:color w:val="000000" w:themeColor="text1"/>
          <w:kern w:val="0"/>
          <w:sz w:val="32"/>
          <w:szCs w:val="32"/>
          <w14:textFill>
            <w14:solidFill>
              <w14:schemeClr w14:val="tx1"/>
            </w14:solidFill>
          </w14:textFill>
        </w:rPr>
        <w:t>三大定位，让高质量发展崭新蓝图加速落地、展现现实模样。</w:t>
      </w:r>
    </w:p>
    <w:p w14:paraId="52D09A23">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——长三角智造金谷。</w:t>
      </w:r>
      <w:r>
        <w:rPr>
          <w:rFonts w:ascii="Times New Roman" w:hAnsi="Times New Roman" w:eastAsia="方正仿宋_GBK" w:cs="Times New Roman"/>
          <w:color w:val="000000" w:themeColor="text1"/>
          <w:kern w:val="0"/>
          <w:sz w:val="32"/>
          <w:szCs w:val="32"/>
          <w14:textFill>
            <w14:solidFill>
              <w14:schemeClr w14:val="tx1"/>
            </w14:solidFill>
          </w14:textFill>
        </w:rPr>
        <w:t>突出以智能制造为核心的产业集聚升级，推进</w:t>
      </w:r>
      <w:bookmarkStart w:id="35" w:name="OLE_LINK6"/>
      <w:r>
        <w:rPr>
          <w:rFonts w:ascii="Times New Roman" w:hAnsi="Times New Roman" w:eastAsia="方正仿宋_GBK" w:cs="Times New Roman"/>
          <w:color w:val="000000" w:themeColor="text1"/>
          <w:kern w:val="0"/>
          <w:sz w:val="32"/>
          <w:szCs w:val="32"/>
          <w14:textFill>
            <w14:solidFill>
              <w14:schemeClr w14:val="tx1"/>
            </w14:solidFill>
          </w14:textFill>
        </w:rPr>
        <w:t>科技创新和产业创新深度融合</w:t>
      </w:r>
      <w:bookmarkEnd w:id="35"/>
      <w:r>
        <w:rPr>
          <w:rFonts w:ascii="Times New Roman" w:hAnsi="Times New Roman" w:eastAsia="方正仿宋_GBK" w:cs="Times New Roman"/>
          <w:color w:val="000000" w:themeColor="text1"/>
          <w:kern w:val="0"/>
          <w:sz w:val="32"/>
          <w:szCs w:val="32"/>
          <w14:textFill>
            <w14:solidFill>
              <w14:schemeClr w14:val="tx1"/>
            </w14:solidFill>
          </w14:textFill>
        </w:rPr>
        <w:t>，</w:t>
      </w:r>
      <w:bookmarkStart w:id="36" w:name="OLE_LINK2"/>
      <w:r>
        <w:rPr>
          <w:rFonts w:ascii="Times New Roman" w:hAnsi="Times New Roman" w:eastAsia="方正仿宋_GBK" w:cs="Times New Roman"/>
          <w:color w:val="000000" w:themeColor="text1"/>
          <w:kern w:val="0"/>
          <w:sz w:val="32"/>
          <w:szCs w:val="32"/>
          <w14:textFill>
            <w14:solidFill>
              <w14:schemeClr w14:val="tx1"/>
            </w14:solidFill>
          </w14:textFill>
        </w:rPr>
        <w:t>加快壮大提质高端装备制造、</w:t>
      </w:r>
      <w:bookmarkEnd w:id="36"/>
      <w:r>
        <w:rPr>
          <w:rFonts w:ascii="Times New Roman" w:hAnsi="Times New Roman" w:eastAsia="方正仿宋_GBK" w:cs="Times New Roman"/>
          <w:color w:val="000000" w:themeColor="text1"/>
          <w:kern w:val="0"/>
          <w:sz w:val="32"/>
          <w:szCs w:val="32"/>
          <w14:textFill>
            <w14:solidFill>
              <w14:schemeClr w14:val="tx1"/>
            </w14:solidFill>
          </w14:textFill>
        </w:rPr>
        <w:t>新材料、大健康等主导产业，坚持智能化、绿色化、融合化方向，构建完善的智能制造产业生态，全力打造长三角区域先进制造业基地。</w:t>
      </w:r>
    </w:p>
    <w:p w14:paraId="27B609CE">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——现代化水韵湖城。</w:t>
      </w:r>
      <w:r>
        <w:rPr>
          <w:rFonts w:ascii="Times New Roman" w:hAnsi="Times New Roman" w:eastAsia="方正仿宋_GBK" w:cs="Times New Roman"/>
          <w:color w:val="000000" w:themeColor="text1"/>
          <w:kern w:val="0"/>
          <w:sz w:val="32"/>
          <w:szCs w:val="32"/>
          <w14:textFill>
            <w14:solidFill>
              <w14:schemeClr w14:val="tx1"/>
            </w14:solidFill>
          </w14:textFill>
        </w:rPr>
        <w:t>强调城市与自然生态的和谐共生，依托得天独厚的河湖资源，打造</w:t>
      </w:r>
      <w:r>
        <w:rPr>
          <w:rFonts w:ascii="Times New Roman" w:hAnsi="Times New Roman" w:eastAsia="方正仿宋_GBK" w:cs="Times New Roman"/>
          <w:color w:val="000000" w:themeColor="text1"/>
          <w:sz w:val="32"/>
          <w:szCs w:val="32"/>
          <w14:textFill>
            <w14:solidFill>
              <w14:schemeClr w14:val="tx1"/>
            </w14:solidFill>
          </w14:textFill>
        </w:rPr>
        <w:t>亲绿、滨水、休闲的生态空间</w:t>
      </w:r>
      <w:r>
        <w:rPr>
          <w:rFonts w:ascii="Times New Roman" w:hAnsi="Times New Roman" w:eastAsia="方正仿宋_GBK" w:cs="Times New Roman"/>
          <w:color w:val="000000" w:themeColor="text1"/>
          <w:kern w:val="0"/>
          <w:sz w:val="32"/>
          <w:szCs w:val="32"/>
          <w14:textFill>
            <w14:solidFill>
              <w14:schemeClr w14:val="tx1"/>
            </w14:solidFill>
          </w14:textFill>
        </w:rPr>
        <w:t>，推进水网、绿网、路网交织成景，实现城乡发展与生态保护的有机统一，构建富有水乡特色、生态宜居的现代化魅力县域。</w:t>
      </w:r>
    </w:p>
    <w:p w14:paraId="0DA2FC8E">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——新时代荷美田园。</w:t>
      </w:r>
      <w:r>
        <w:rPr>
          <w:rFonts w:ascii="Times New Roman" w:hAnsi="Times New Roman" w:eastAsia="方正仿宋_GBK" w:cs="Times New Roman"/>
          <w:color w:val="000000" w:themeColor="text1"/>
          <w:kern w:val="0"/>
          <w:sz w:val="32"/>
          <w:szCs w:val="32"/>
          <w14:textFill>
            <w14:solidFill>
              <w14:schemeClr w14:val="tx1"/>
            </w14:solidFill>
          </w14:textFill>
        </w:rPr>
        <w:t>始终坚持以人民为中心的发展思想，学习运用“千万工程”经验，把群众对美好生活的向往转化为主动建设家园的行动，强调荷文化、尧文化特色符号和城乡融合发展新模式，聚力高品质生活和高效能治理，打造具有人文温度、生活质感、幸福成色的品质生活首选地。</w:t>
      </w:r>
    </w:p>
    <w:p w14:paraId="40BF8976">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37" w:name="_Toc218695830"/>
      <w:r>
        <w:rPr>
          <w:rFonts w:ascii="Times New Roman" w:hAnsi="Times New Roman" w:eastAsia="方正楷体_GBK" w:cs="Times New Roman"/>
          <w:color w:val="000000" w:themeColor="text1"/>
          <w:kern w:val="0"/>
          <w:sz w:val="32"/>
          <w:szCs w:val="32"/>
          <w14:textFill>
            <w14:solidFill>
              <w14:schemeClr w14:val="tx1"/>
            </w14:solidFill>
          </w14:textFill>
        </w:rPr>
        <w:t>第三节  战略导向</w:t>
      </w:r>
      <w:bookmarkEnd w:id="37"/>
    </w:p>
    <w:p w14:paraId="0F093E59">
      <w:pPr>
        <w:spacing w:line="560" w:lineRule="exact"/>
        <w:ind w:firstLine="640" w:firstLineChars="200"/>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推动“十五五”时期发展，必须遵循中央明确的原则，坚持党的全面领导，坚持人民至上，坚持高质量发展，坚持全面深化改革，坚持有效市场和有为政府相结合，坚持统筹发展和安全，立足金湖产业基础与生态特色实际，加强对未来产业、城乡格局、人口规模质量变革前瞻预判，努力提升金湖现代化发展的整体水平与实现程度，让发展成果更多更公平惠及全县人民，促进社会公平正义。</w:t>
      </w:r>
    </w:p>
    <w:p w14:paraId="70A9A4EF">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——提质升级，创新驱动赋能现代产业发展。</w:t>
      </w:r>
      <w:r>
        <w:rPr>
          <w:rFonts w:ascii="Times New Roman" w:hAnsi="Times New Roman" w:eastAsia="方正仿宋_GBK" w:cs="Times New Roman"/>
          <w:color w:val="000000" w:themeColor="text1"/>
          <w:kern w:val="0"/>
          <w:sz w:val="32"/>
          <w:szCs w:val="32"/>
          <w14:textFill>
            <w14:solidFill>
              <w14:schemeClr w14:val="tx1"/>
            </w14:solidFill>
          </w14:textFill>
        </w:rPr>
        <w:t>坚持把发展着力点放在实体经济上，因地制宜发展新质生产力，持续强化招商选资与招才引智“双引擎”作用，壮大做强特色主导产业，培育发展潜力新兴产业，提高现代服务业与先进制造业融合发展水平，突出科技创新和产业创新深度融合，加速科技成果转化应用、在金落地。</w:t>
      </w:r>
    </w:p>
    <w:p w14:paraId="37296567">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——协调联动，纵深推进融入融合发展战略。</w:t>
      </w:r>
      <w:r>
        <w:rPr>
          <w:rFonts w:ascii="Times New Roman" w:hAnsi="Times New Roman" w:eastAsia="方正仿宋_GBK" w:cs="Times New Roman"/>
          <w:color w:val="000000" w:themeColor="text1"/>
          <w:kern w:val="0"/>
          <w:sz w:val="32"/>
          <w:szCs w:val="32"/>
          <w14:textFill>
            <w14:solidFill>
              <w14:schemeClr w14:val="tx1"/>
            </w14:solidFill>
          </w14:textFill>
        </w:rPr>
        <w:t>紧抓长三角一体化与南京都市圈发展机遇，围绕构建“区域协同、城乡共荣、产城互促、产业共生”四位一体融合格局，发挥比较优势，全方位加强与周边地区合作联动发展，通过区域融合拓空间、城乡融合破壁垒、产城融合强功能、产业融合增动力，全面激活高质量发展新引擎。</w:t>
      </w:r>
    </w:p>
    <w:p w14:paraId="4A23EE91">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——美丽生金，树牢绿色低碳循环发展理念。</w:t>
      </w:r>
      <w:r>
        <w:rPr>
          <w:rFonts w:ascii="Times New Roman" w:hAnsi="Times New Roman" w:eastAsia="方正仿宋_GBK" w:cs="Times New Roman"/>
          <w:color w:val="000000" w:themeColor="text1"/>
          <w:kern w:val="0"/>
          <w:sz w:val="32"/>
          <w:szCs w:val="32"/>
          <w14:textFill>
            <w14:solidFill>
              <w14:schemeClr w14:val="tx1"/>
            </w14:solidFill>
          </w14:textFill>
        </w:rPr>
        <w:t>牢固树立和践行绿水青山就是金山银山的理念，协同推进降碳、减污、扩绿、增长，全力构建以水为纽带的产业空间、城镇空间、生态空间，深入推进污染防治攻坚，推广清洁能源应用，大力发展绿色制造、循环经济，将生态优势转化为经济优势，实现生态建设与经济高质量发展协同推进。</w:t>
      </w:r>
    </w:p>
    <w:p w14:paraId="5F841BD2">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——数智领航，场景创新深化全域智能应用。</w:t>
      </w:r>
      <w:r>
        <w:rPr>
          <w:rFonts w:ascii="Times New Roman" w:hAnsi="Times New Roman" w:eastAsia="方正仿宋_GBK" w:cs="Times New Roman"/>
          <w:color w:val="000000" w:themeColor="text1"/>
          <w:kern w:val="0"/>
          <w:sz w:val="32"/>
          <w:szCs w:val="32"/>
          <w14:textFill>
            <w14:solidFill>
              <w14:schemeClr w14:val="tx1"/>
            </w14:solidFill>
          </w14:textFill>
        </w:rPr>
        <w:t>以“全域数字化、场景智能化、治理精细化”为导向，加快数字基础设施建设，深化智能制造、智慧文旅、数字乡村等重点领域数实融合，并积极实施“人工智能+”行动，让智能应用渗透到产业发展、文化建设、民生保障、社会治理等生产生活全链条，塑造“数字金湖”核心品牌。</w:t>
      </w:r>
    </w:p>
    <w:p w14:paraId="6A2C3DC0">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——共富共享，改善民生福祉提升治理效能。</w:t>
      </w:r>
      <w:r>
        <w:rPr>
          <w:rFonts w:ascii="Times New Roman" w:hAnsi="Times New Roman" w:eastAsia="方正仿宋_GBK" w:cs="Times New Roman"/>
          <w:color w:val="000000" w:themeColor="text1"/>
          <w:kern w:val="0"/>
          <w:sz w:val="32"/>
          <w:szCs w:val="32"/>
          <w14:textFill>
            <w14:solidFill>
              <w14:schemeClr w14:val="tx1"/>
            </w14:solidFill>
          </w14:textFill>
        </w:rPr>
        <w:t>加强普惠性、基础性、兜底性民生建设，提升教育、医疗、养老等基本公共服务水平并稳步推进其均等化，探索人口高质量发展路径，多措并举夯实城乡居民就业创业增收根基，有效增加低收入群体收入，更高水平推进社会治理现代化，在发展中不断增强人民群众的获得感、幸福感、安全感。</w:t>
      </w:r>
    </w:p>
    <w:p w14:paraId="3E49CF42">
      <w:pPr>
        <w:keepNext/>
        <w:widowControl/>
        <w:spacing w:before="156" w:beforeLines="50" w:after="156" w:afterLines="50" w:line="587"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38" w:name="_Toc218695831"/>
      <w:r>
        <w:rPr>
          <w:rFonts w:ascii="Times New Roman" w:hAnsi="Times New Roman" w:eastAsia="方正楷体_GBK" w:cs="Times New Roman"/>
          <w:color w:val="000000" w:themeColor="text1"/>
          <w:kern w:val="0"/>
          <w:sz w:val="32"/>
          <w:szCs w:val="32"/>
          <w14:textFill>
            <w14:solidFill>
              <w14:schemeClr w14:val="tx1"/>
            </w14:solidFill>
          </w14:textFill>
        </w:rPr>
        <w:t>第四节  目标愿景</w:t>
      </w:r>
      <w:bookmarkEnd w:id="38"/>
    </w:p>
    <w:p w14:paraId="30A0EF05">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“十五五”时期，金湖将</w:t>
      </w:r>
      <w:r>
        <w:rPr>
          <w:rFonts w:ascii="Times New Roman" w:hAnsi="Times New Roman" w:eastAsia="方正仿宋_GBK" w:cs="Times New Roman"/>
          <w:color w:val="000000" w:themeColor="text1"/>
          <w:sz w:val="32"/>
          <w:szCs w:val="32"/>
          <w14:textFill>
            <w14:solidFill>
              <w14:schemeClr w14:val="tx1"/>
            </w14:solidFill>
          </w14:textFill>
        </w:rPr>
        <w:t>锚定2035年基本实现社会主义现代化目标，按照“夯实基础、全面发力”的要求，聚焦淮安现代化经济建设“三步走”策略，总体目标保持稳中有进，各项工作迈上新的台阶，</w:t>
      </w:r>
      <w:r>
        <w:rPr>
          <w:rFonts w:ascii="Times New Roman" w:hAnsi="Times New Roman" w:eastAsia="方正仿宋_GBK" w:cs="Times New Roman"/>
          <w:color w:val="000000" w:themeColor="text1"/>
          <w:kern w:val="0"/>
          <w:sz w:val="32"/>
          <w:szCs w:val="32"/>
          <w14:textFill>
            <w14:solidFill>
              <w14:schemeClr w14:val="tx1"/>
            </w14:solidFill>
          </w14:textFill>
        </w:rPr>
        <w:t>以更高站位、更宽视野、更实举措打造高质量发展新标杆。</w:t>
      </w:r>
    </w:p>
    <w:p w14:paraId="28FE56B4">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县域综合发展实力攀上新高度。</w:t>
      </w:r>
      <w:r>
        <w:rPr>
          <w:rFonts w:ascii="Times New Roman" w:hAnsi="Times New Roman" w:eastAsia="方正仿宋_GBK" w:cs="Times New Roman"/>
          <w:color w:val="000000" w:themeColor="text1"/>
          <w:kern w:val="0"/>
          <w:sz w:val="32"/>
          <w:szCs w:val="32"/>
          <w14:textFill>
            <w14:solidFill>
              <w14:schemeClr w14:val="tx1"/>
            </w14:solidFill>
          </w14:textFill>
        </w:rPr>
        <w:t>县域综合实力和竞争力持续提升，经济总量在量的合理增长上“走在前”，在质的有效提升上“做示范”，地区生产总值保持高于省市平均水平的合理增速、占全市份额逐年提高，人均地区生产总值高于省市平均水平、保持苏北前列位置，县域经济排名向全国百强县挺进。</w:t>
      </w:r>
      <w:r>
        <w:rPr>
          <w:rFonts w:ascii="Times New Roman" w:hAnsi="Times New Roman" w:eastAsia="方正仿宋_GBK" w:cs="Times New Roman"/>
          <w:color w:val="000000" w:themeColor="text1"/>
          <w:sz w:val="32"/>
          <w:szCs w:val="32"/>
          <w14:textFill>
            <w14:solidFill>
              <w14:schemeClr w14:val="tx1"/>
            </w14:solidFill>
          </w14:textFill>
        </w:rPr>
        <w:t>经济开发区工业总产值超千亿，全县规上工业总产值</w:t>
      </w:r>
      <w:r>
        <w:rPr>
          <w:rFonts w:hint="eastAsia" w:ascii="Times New Roman" w:hAnsi="Times New Roman" w:eastAsia="方正仿宋_GBK" w:cs="Times New Roman"/>
          <w:color w:val="000000" w:themeColor="text1"/>
          <w:sz w:val="32"/>
          <w:szCs w:val="32"/>
          <w14:textFill>
            <w14:solidFill>
              <w14:schemeClr w14:val="tx1"/>
            </w14:solidFill>
          </w14:textFill>
        </w:rPr>
        <w:t>力争</w:t>
      </w:r>
      <w:r>
        <w:rPr>
          <w:rFonts w:ascii="Times New Roman" w:hAnsi="Times New Roman" w:eastAsia="方正仿宋_GBK" w:cs="Times New Roman"/>
          <w:color w:val="000000" w:themeColor="text1"/>
          <w:sz w:val="32"/>
          <w:szCs w:val="32"/>
          <w14:textFill>
            <w14:solidFill>
              <w14:schemeClr w14:val="tx1"/>
            </w14:solidFill>
          </w14:textFill>
        </w:rPr>
        <w:t>翻一番。</w:t>
      </w:r>
    </w:p>
    <w:p w14:paraId="40510099">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产业现代化发展水平实现新突破。</w:t>
      </w:r>
      <w:r>
        <w:rPr>
          <w:rFonts w:ascii="Times New Roman" w:hAnsi="Times New Roman" w:eastAsia="方正仿宋_GBK" w:cs="Times New Roman"/>
          <w:color w:val="000000" w:themeColor="text1"/>
          <w:kern w:val="0"/>
          <w:sz w:val="32"/>
          <w:szCs w:val="32"/>
          <w14:textFill>
            <w14:solidFill>
              <w14:schemeClr w14:val="tx1"/>
            </w14:solidFill>
          </w14:textFill>
        </w:rPr>
        <w:t>主导</w:t>
      </w:r>
      <w:r>
        <w:rPr>
          <w:rFonts w:ascii="Times New Roman" w:hAnsi="Times New Roman" w:eastAsia="方正仿宋_GBK" w:cs="Times New Roman"/>
          <w:color w:val="000000" w:themeColor="text1"/>
          <w:sz w:val="32"/>
          <w:szCs w:val="32"/>
          <w14:textFill>
            <w14:solidFill>
              <w14:schemeClr w14:val="tx1"/>
            </w14:solidFill>
          </w14:textFill>
        </w:rPr>
        <w:t>产业数字化、智能化转型全面深化，战略性新兴产业和未来产业不断突破，</w:t>
      </w:r>
      <w:r>
        <w:rPr>
          <w:rFonts w:ascii="Times New Roman" w:hAnsi="Times New Roman" w:eastAsia="方正仿宋_GBK" w:cs="Times New Roman"/>
          <w:color w:val="000000" w:themeColor="text1"/>
          <w:kern w:val="0"/>
          <w:sz w:val="32"/>
          <w:szCs w:val="32"/>
          <w14:textFill>
            <w14:solidFill>
              <w14:schemeClr w14:val="tx1"/>
            </w14:solidFill>
          </w14:textFill>
        </w:rPr>
        <w:t>现代服务业水平加快提升，产业生态更加完善，产业集群实现“链”上高质量发展。科技创新水平大幅提高，科技成果转化和产业化水平不断提高，高新技术产业成为经济增长的重要引擎。</w:t>
      </w:r>
    </w:p>
    <w:p w14:paraId="7E90B2D0">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策应枢纽经济发展塑造新优势。</w:t>
      </w:r>
      <w:r>
        <w:rPr>
          <w:rFonts w:ascii="Times New Roman" w:hAnsi="Times New Roman" w:eastAsia="方正仿宋_GBK" w:cs="Times New Roman"/>
          <w:color w:val="000000" w:themeColor="text1"/>
          <w:kern w:val="0"/>
          <w:sz w:val="32"/>
          <w:szCs w:val="32"/>
          <w14:textFill>
            <w14:solidFill>
              <w14:schemeClr w14:val="tx1"/>
            </w14:solidFill>
          </w14:textFill>
        </w:rPr>
        <w:t>建成公铁水空综合交通枢纽网络，</w:t>
      </w:r>
      <w:r>
        <w:rPr>
          <w:rFonts w:ascii="Times New Roman" w:hAnsi="Times New Roman" w:eastAsia="方正仿宋_GBK" w:cs="Times New Roman"/>
          <w:color w:val="000000" w:themeColor="text1"/>
          <w:sz w:val="32"/>
          <w:szCs w:val="32"/>
          <w14:textFill>
            <w14:solidFill>
              <w14:schemeClr w14:val="tx1"/>
            </w14:solidFill>
          </w14:textFill>
        </w:rPr>
        <w:t>实现半小时直达淮安和南京市区、2小时覆盖省内主要枢纽节点、3小时通达长三角核心城市，</w:t>
      </w:r>
      <w:r>
        <w:rPr>
          <w:rFonts w:ascii="Times New Roman" w:hAnsi="Times New Roman" w:eastAsia="方正仿宋_GBK" w:cs="Times New Roman"/>
          <w:color w:val="000000" w:themeColor="text1"/>
          <w:kern w:val="0"/>
          <w:sz w:val="32"/>
          <w:szCs w:val="32"/>
          <w14:textFill>
            <w14:solidFill>
              <w14:schemeClr w14:val="tx1"/>
            </w14:solidFill>
          </w14:textFill>
        </w:rPr>
        <w:t>淮河生态经济带</w:t>
      </w:r>
      <w:r>
        <w:rPr>
          <w:rFonts w:ascii="Times New Roman" w:hAnsi="Times New Roman" w:eastAsia="方正仿宋_GBK" w:cs="Times New Roman"/>
          <w:color w:val="000000" w:themeColor="text1"/>
          <w:sz w:val="32"/>
          <w:szCs w:val="32"/>
          <w14:textFill>
            <w14:solidFill>
              <w14:schemeClr w14:val="tx1"/>
            </w14:solidFill>
          </w14:textFill>
        </w:rPr>
        <w:t>和淮安枢纽经济</w:t>
      </w:r>
      <w:r>
        <w:rPr>
          <w:rFonts w:ascii="Times New Roman" w:hAnsi="Times New Roman" w:eastAsia="方正仿宋_GBK" w:cs="Times New Roman"/>
          <w:color w:val="000000" w:themeColor="text1"/>
          <w:kern w:val="0"/>
          <w:sz w:val="32"/>
          <w:szCs w:val="32"/>
          <w14:textFill>
            <w14:solidFill>
              <w14:schemeClr w14:val="tx1"/>
            </w14:solidFill>
          </w14:textFill>
        </w:rPr>
        <w:t>重要节点地位更加凸显。集聚物流、信息流、资金流、人才流等要素，枢纽偏好型产业发展迈上台阶，区域资源配置能力显著增强，国内外合作空间持续拓展。</w:t>
      </w:r>
    </w:p>
    <w:p w14:paraId="1028CF79">
      <w:pPr>
        <w:spacing w:line="560"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城乡区域融合发展取得新进展。</w:t>
      </w:r>
      <w:r>
        <w:rPr>
          <w:rFonts w:ascii="Times New Roman" w:hAnsi="Times New Roman" w:eastAsia="方正仿宋_GBK" w:cs="Times New Roman"/>
          <w:color w:val="000000" w:themeColor="text1"/>
          <w:sz w:val="32"/>
          <w:szCs w:val="32"/>
          <w14:textFill>
            <w14:solidFill>
              <w14:schemeClr w14:val="tx1"/>
            </w14:solidFill>
          </w14:textFill>
        </w:rPr>
        <w:t>新型城镇化建设不断推进，国土空间总体格局持续优化，县城综合承载能力和建设品质内涵持续提升</w:t>
      </w:r>
      <w:r>
        <w:rPr>
          <w:rFonts w:ascii="Times New Roman" w:hAnsi="Times New Roman" w:eastAsia="方正仿宋_GBK" w:cs="Times New Roman"/>
          <w:color w:val="000000" w:themeColor="text1"/>
          <w:kern w:val="0"/>
          <w:sz w:val="32"/>
          <w:szCs w:val="32"/>
          <w14:textFill>
            <w14:solidFill>
              <w14:schemeClr w14:val="tx1"/>
            </w14:solidFill>
          </w14:textFill>
        </w:rPr>
        <w:t>。乡村全面振兴扎实推进，农业全面升级，农村基本具备现代生活条件，农民收入持续增长，城乡居民收入差距缩小。</w:t>
      </w:r>
      <w:r>
        <w:rPr>
          <w:rFonts w:ascii="Times New Roman" w:hAnsi="Times New Roman" w:eastAsia="方正仿宋_GBK" w:cs="Times New Roman"/>
          <w:color w:val="000000" w:themeColor="text1"/>
          <w:sz w:val="32"/>
          <w:szCs w:val="32"/>
          <w14:textFill>
            <w14:solidFill>
              <w14:schemeClr w14:val="tx1"/>
            </w14:solidFill>
          </w14:textFill>
        </w:rPr>
        <w:t>城乡融合发展不断深化，形成既具现代气息、又富田园诗意的城乡融合发展生动景象。</w:t>
      </w:r>
    </w:p>
    <w:p w14:paraId="08AC1CD1">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绿色低碳循环发展呈现新面貌。</w:t>
      </w:r>
      <w:r>
        <w:rPr>
          <w:rFonts w:ascii="Times New Roman" w:hAnsi="Times New Roman" w:eastAsia="方正仿宋_GBK" w:cs="Times New Roman"/>
          <w:color w:val="000000" w:themeColor="text1"/>
          <w:kern w:val="0"/>
          <w:sz w:val="32"/>
          <w:szCs w:val="32"/>
          <w14:textFill>
            <w14:solidFill>
              <w14:schemeClr w14:val="tx1"/>
            </w14:solidFill>
          </w14:textFill>
        </w:rPr>
        <w:t>生态环境质量持续改善，主要污染物排放总量持续减少，大气、水体、土壤环境指标向好向优，生物系统多样性稳定性持续性不断提升。绿色生产生活方式广泛形成，产业结构、能源结构、交通运输结构进一步优化，绿色产业成为经济发展新增长点</w:t>
      </w:r>
      <w:r>
        <w:rPr>
          <w:rFonts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kern w:val="0"/>
          <w:sz w:val="32"/>
          <w:szCs w:val="32"/>
          <w14:textFill>
            <w14:solidFill>
              <w14:schemeClr w14:val="tx1"/>
            </w14:solidFill>
          </w14:textFill>
        </w:rPr>
        <w:t>碳达峰目标如期实现，</w:t>
      </w:r>
      <w:r>
        <w:rPr>
          <w:rFonts w:ascii="Times New Roman" w:hAnsi="Times New Roman" w:eastAsia="方正仿宋_GBK" w:cs="Times New Roman"/>
          <w:color w:val="000000" w:themeColor="text1"/>
          <w:sz w:val="32"/>
          <w:szCs w:val="32"/>
          <w14:textFill>
            <w14:solidFill>
              <w14:schemeClr w14:val="tx1"/>
            </w14:solidFill>
          </w14:textFill>
        </w:rPr>
        <w:t>生态文明建设继续走在前列</w:t>
      </w:r>
      <w:r>
        <w:rPr>
          <w:rFonts w:ascii="Times New Roman" w:hAnsi="Times New Roman" w:eastAsia="方正仿宋_GBK" w:cs="Times New Roman"/>
          <w:color w:val="000000" w:themeColor="text1"/>
          <w:kern w:val="0"/>
          <w:sz w:val="32"/>
          <w:szCs w:val="32"/>
          <w14:textFill>
            <w14:solidFill>
              <w14:schemeClr w14:val="tx1"/>
            </w14:solidFill>
          </w14:textFill>
        </w:rPr>
        <w:t>。</w:t>
      </w:r>
    </w:p>
    <w:p w14:paraId="4DDA38D2">
      <w:pPr>
        <w:spacing w:line="560"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人民群众生活品质跃上新台阶。</w:t>
      </w:r>
      <w:r>
        <w:rPr>
          <w:rFonts w:ascii="Times New Roman" w:hAnsi="Times New Roman" w:eastAsia="方正仿宋_GBK" w:cs="Times New Roman"/>
          <w:color w:val="000000" w:themeColor="text1"/>
          <w:sz w:val="32"/>
          <w:szCs w:val="32"/>
          <w14:textFill>
            <w14:solidFill>
              <w14:schemeClr w14:val="tx1"/>
            </w14:solidFill>
          </w14:textFill>
        </w:rPr>
        <w:t>就业更加充分更高质量，居民收入增长和经济增长同步，</w:t>
      </w:r>
      <w:r>
        <w:rPr>
          <w:rFonts w:ascii="Times New Roman" w:hAnsi="Times New Roman" w:eastAsia="方正仿宋_GBK" w:cs="Times New Roman"/>
          <w:color w:val="000000" w:themeColor="text1"/>
          <w:kern w:val="0"/>
          <w:sz w:val="32"/>
          <w:szCs w:val="32"/>
          <w14:textFill>
            <w14:solidFill>
              <w14:schemeClr w14:val="tx1"/>
            </w14:solidFill>
          </w14:textFill>
        </w:rPr>
        <w:t>中等收入群体持续扩大，</w:t>
      </w:r>
      <w:r>
        <w:rPr>
          <w:rFonts w:ascii="Times New Roman" w:hAnsi="Times New Roman" w:eastAsia="方正仿宋_GBK" w:cs="Times New Roman"/>
          <w:color w:val="000000" w:themeColor="text1"/>
          <w:sz w:val="32"/>
          <w:szCs w:val="32"/>
          <w14:textFill>
            <w14:solidFill>
              <w14:schemeClr w14:val="tx1"/>
            </w14:solidFill>
          </w14:textFill>
        </w:rPr>
        <w:t>居民消费能力和水平稳步提升。覆盖全人群、全生命周期的人口发展支持和服务体系不断完善，社会保障体系更加健全，教育、医疗、养老等公共服务供给质量和均等化水平大幅提高。文化体育事业繁荣发展，社会主义核心价值观广泛践行，人民精神文化生活更加丰富，城市文明向更高层次更高水平迈进</w:t>
      </w:r>
      <w:r>
        <w:rPr>
          <w:rFonts w:ascii="Times New Roman" w:hAnsi="Times New Roman" w:eastAsia="方正仿宋_GBK" w:cs="Times New Roman"/>
          <w:color w:val="000000" w:themeColor="text1"/>
          <w:kern w:val="0"/>
          <w:sz w:val="32"/>
          <w:szCs w:val="32"/>
          <w14:textFill>
            <w14:solidFill>
              <w14:schemeClr w14:val="tx1"/>
            </w14:solidFill>
          </w14:textFill>
        </w:rPr>
        <w:t>。</w:t>
      </w:r>
    </w:p>
    <w:p w14:paraId="47C2A149">
      <w:pPr>
        <w:pStyle w:val="29"/>
        <w:spacing w:after="0" w:line="560" w:lineRule="exact"/>
        <w:ind w:left="0" w:leftChars="0" w:firstLine="640"/>
        <w:rPr>
          <w:rFonts w:ascii="Times New Roman" w:hAnsi="Times New Roman" w:cs="Times New Roman"/>
          <w:color w:val="000000" w:themeColor="text1"/>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公共安全治理效能实现新提升。</w:t>
      </w:r>
      <w:r>
        <w:rPr>
          <w:rFonts w:ascii="Times New Roman" w:hAnsi="Times New Roman" w:eastAsia="方正仿宋_GBK" w:cs="Times New Roman"/>
          <w:color w:val="000000" w:themeColor="text1"/>
          <w:sz w:val="32"/>
          <w:szCs w:val="32"/>
          <w14:textFill>
            <w14:solidFill>
              <w14:schemeClr w14:val="tx1"/>
            </w14:solidFill>
          </w14:textFill>
        </w:rPr>
        <w:t>县域治理的法治化、科学化、精细化、智能化水平大幅提升，城乡治理体系更加健全，社会治理总体效能持续增强，社会公平正义得到更充分体现，社会大局保持和谐稳定。本质安全水平系统提升，重大风险隐患得到有效防范化解，突发公共事件应急处置能力和自然灾害防御水平显著提升，县域安全屏障更加牢固可靠，城市更有韧性。</w:t>
      </w:r>
    </w:p>
    <w:p w14:paraId="10B254EC">
      <w:pP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br w:type="page"/>
      </w:r>
    </w:p>
    <w:p w14:paraId="2470AEB0">
      <w:pPr>
        <w:widowControl/>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 xml:space="preserve">表2  </w:t>
      </w:r>
      <w:r>
        <w:rPr>
          <w:rFonts w:hint="eastAsia" w:ascii="Times New Roman" w:hAnsi="Times New Roman" w:eastAsia="方正黑体_GBK" w:cs="Times New Roman"/>
          <w:color w:val="000000" w:themeColor="text1"/>
          <w:sz w:val="32"/>
          <w:szCs w:val="32"/>
          <w14:textFill>
            <w14:solidFill>
              <w14:schemeClr w14:val="tx1"/>
            </w14:solidFill>
          </w14:textFill>
        </w:rPr>
        <w:t>金湖县</w:t>
      </w:r>
      <w:r>
        <w:rPr>
          <w:rFonts w:ascii="Times New Roman" w:hAnsi="Times New Roman" w:eastAsia="方正黑体_GBK" w:cs="Times New Roman"/>
          <w:color w:val="000000" w:themeColor="text1"/>
          <w:sz w:val="32"/>
          <w:szCs w:val="32"/>
          <w14:textFill>
            <w14:solidFill>
              <w14:schemeClr w14:val="tx1"/>
            </w14:solidFill>
          </w14:textFill>
        </w:rPr>
        <w:t>“十五五”经济社会发展主要指标</w:t>
      </w:r>
    </w:p>
    <w:tbl>
      <w:tblPr>
        <w:tblStyle w:val="30"/>
        <w:tblW w:w="9752" w:type="dxa"/>
        <w:jc w:val="center"/>
        <w:tblLayout w:type="fixed"/>
        <w:tblCellMar>
          <w:top w:w="0" w:type="dxa"/>
          <w:left w:w="108" w:type="dxa"/>
          <w:bottom w:w="0" w:type="dxa"/>
          <w:right w:w="108" w:type="dxa"/>
        </w:tblCellMar>
      </w:tblPr>
      <w:tblGrid>
        <w:gridCol w:w="747"/>
        <w:gridCol w:w="4672"/>
        <w:gridCol w:w="1038"/>
        <w:gridCol w:w="1048"/>
        <w:gridCol w:w="1199"/>
        <w:gridCol w:w="1048"/>
      </w:tblGrid>
      <w:tr w14:paraId="1CF9BEEA">
        <w:tblPrEx>
          <w:tblCellMar>
            <w:top w:w="0" w:type="dxa"/>
            <w:left w:w="108" w:type="dxa"/>
            <w:bottom w:w="0" w:type="dxa"/>
            <w:right w:w="108" w:type="dxa"/>
          </w:tblCellMar>
        </w:tblPrEx>
        <w:trPr>
          <w:trHeight w:val="719" w:hRule="exact"/>
          <w:jc w:val="center"/>
        </w:trPr>
        <w:tc>
          <w:tcPr>
            <w:tcW w:w="747" w:type="dxa"/>
            <w:tcBorders>
              <w:top w:val="single" w:color="000000" w:sz="4" w:space="0"/>
              <w:left w:val="single" w:color="000000" w:sz="4" w:space="0"/>
              <w:bottom w:val="single" w:color="000000" w:sz="4" w:space="0"/>
              <w:right w:val="single" w:color="000000" w:sz="4" w:space="0"/>
            </w:tcBorders>
            <w:noWrap/>
            <w:vAlign w:val="center"/>
          </w:tcPr>
          <w:p w14:paraId="0DD85459">
            <w:pPr>
              <w:widowControl/>
              <w:spacing w:line="300" w:lineRule="exact"/>
              <w:jc w:val="center"/>
              <w:textAlignment w:val="top"/>
              <w:rPr>
                <w:rFonts w:ascii="Times New Roman" w:hAnsi="Times New Roman" w:eastAsia="方正黑体_GBK" w:cs="Times New Roman"/>
                <w:color w:val="000000"/>
                <w:szCs w:val="21"/>
              </w:rPr>
            </w:pPr>
            <w:bookmarkStart w:id="39" w:name="_Hlk215083531"/>
            <w:r>
              <w:rPr>
                <w:rFonts w:ascii="Times New Roman" w:hAnsi="Times New Roman" w:eastAsia="方正黑体_GBK" w:cs="Times New Roman"/>
                <w:color w:val="000000"/>
                <w:kern w:val="0"/>
                <w:szCs w:val="21"/>
                <w:lang w:bidi="ar"/>
              </w:rPr>
              <w:t>分类</w:t>
            </w: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3F2888CA">
            <w:pPr>
              <w:widowControl/>
              <w:spacing w:line="300" w:lineRule="exact"/>
              <w:jc w:val="center"/>
              <w:textAlignment w:val="top"/>
              <w:rPr>
                <w:rFonts w:ascii="Times New Roman" w:hAnsi="Times New Roman" w:eastAsia="方正黑体_GBK" w:cs="Times New Roman"/>
                <w:color w:val="000000"/>
                <w:szCs w:val="21"/>
              </w:rPr>
            </w:pPr>
            <w:r>
              <w:rPr>
                <w:rFonts w:ascii="Times New Roman" w:hAnsi="Times New Roman" w:eastAsia="方正黑体_GBK" w:cs="Times New Roman"/>
                <w:color w:val="000000"/>
                <w:kern w:val="0"/>
                <w:szCs w:val="21"/>
                <w:lang w:bidi="ar"/>
              </w:rPr>
              <w:t>指标</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1114788A">
            <w:pPr>
              <w:widowControl/>
              <w:spacing w:line="300" w:lineRule="exact"/>
              <w:jc w:val="center"/>
              <w:textAlignment w:val="top"/>
              <w:rPr>
                <w:rFonts w:ascii="Times New Roman" w:hAnsi="Times New Roman" w:eastAsia="方正黑体_GBK" w:cs="Times New Roman"/>
                <w:color w:val="000000"/>
                <w:szCs w:val="21"/>
              </w:rPr>
            </w:pPr>
            <w:r>
              <w:rPr>
                <w:rFonts w:ascii="Times New Roman" w:hAnsi="Times New Roman" w:eastAsia="方正黑体_GBK" w:cs="Times New Roman"/>
                <w:color w:val="000000"/>
                <w:kern w:val="0"/>
                <w:szCs w:val="21"/>
                <w:lang w:bidi="ar"/>
              </w:rPr>
              <w:t>2025年</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596100BA">
            <w:pPr>
              <w:widowControl/>
              <w:spacing w:line="300" w:lineRule="exact"/>
              <w:jc w:val="center"/>
              <w:textAlignment w:val="top"/>
              <w:rPr>
                <w:rFonts w:ascii="Times New Roman" w:hAnsi="Times New Roman" w:eastAsia="方正黑体_GBK" w:cs="Times New Roman"/>
                <w:color w:val="000000"/>
                <w:szCs w:val="21"/>
              </w:rPr>
            </w:pPr>
            <w:r>
              <w:rPr>
                <w:rFonts w:ascii="Times New Roman" w:hAnsi="Times New Roman" w:eastAsia="方正黑体_GBK" w:cs="Times New Roman"/>
                <w:color w:val="000000"/>
                <w:kern w:val="0"/>
                <w:szCs w:val="21"/>
                <w:lang w:bidi="ar"/>
              </w:rPr>
              <w:t>2030年目标</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7965BB0E">
            <w:pPr>
              <w:widowControl/>
              <w:spacing w:line="300" w:lineRule="exact"/>
              <w:jc w:val="center"/>
              <w:textAlignment w:val="top"/>
              <w:rPr>
                <w:rFonts w:ascii="Times New Roman" w:hAnsi="Times New Roman" w:eastAsia="方正黑体_GBK" w:cs="Times New Roman"/>
                <w:color w:val="000000"/>
                <w:szCs w:val="21"/>
              </w:rPr>
            </w:pPr>
            <w:r>
              <w:rPr>
                <w:rFonts w:ascii="Times New Roman" w:hAnsi="Times New Roman" w:eastAsia="方正黑体_GBK" w:cs="Times New Roman"/>
                <w:color w:val="000000"/>
                <w:kern w:val="0"/>
                <w:szCs w:val="21"/>
                <w:lang w:bidi="ar"/>
              </w:rPr>
              <w:t>年均增速[累计]</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4EC5FFF8">
            <w:pPr>
              <w:widowControl/>
              <w:spacing w:line="300" w:lineRule="exact"/>
              <w:jc w:val="center"/>
              <w:textAlignment w:val="top"/>
              <w:rPr>
                <w:rFonts w:ascii="Times New Roman" w:hAnsi="Times New Roman" w:eastAsia="方正黑体_GBK" w:cs="Times New Roman"/>
                <w:color w:val="000000"/>
                <w:szCs w:val="21"/>
              </w:rPr>
            </w:pPr>
            <w:r>
              <w:rPr>
                <w:rFonts w:ascii="Times New Roman" w:hAnsi="Times New Roman" w:eastAsia="方正黑体_GBK" w:cs="Times New Roman"/>
                <w:color w:val="000000"/>
                <w:kern w:val="0"/>
                <w:szCs w:val="21"/>
                <w:lang w:bidi="ar"/>
              </w:rPr>
              <w:t>属性</w:t>
            </w:r>
          </w:p>
        </w:tc>
      </w:tr>
      <w:tr w14:paraId="5706C767">
        <w:tblPrEx>
          <w:tblCellMar>
            <w:top w:w="0" w:type="dxa"/>
            <w:left w:w="108" w:type="dxa"/>
            <w:bottom w:w="0" w:type="dxa"/>
            <w:right w:w="108" w:type="dxa"/>
          </w:tblCellMar>
        </w:tblPrEx>
        <w:trPr>
          <w:trHeight w:val="419" w:hRule="atLeast"/>
          <w:jc w:val="center"/>
        </w:trPr>
        <w:tc>
          <w:tcPr>
            <w:tcW w:w="747" w:type="dxa"/>
            <w:vMerge w:val="restart"/>
            <w:tcBorders>
              <w:top w:val="single" w:color="000000" w:sz="4" w:space="0"/>
              <w:left w:val="single" w:color="000000" w:sz="4" w:space="0"/>
              <w:right w:val="single" w:color="000000" w:sz="4" w:space="0"/>
            </w:tcBorders>
            <w:noWrap/>
            <w:vAlign w:val="center"/>
          </w:tcPr>
          <w:p w14:paraId="341DC71D">
            <w:pPr>
              <w:widowControl/>
              <w:jc w:val="center"/>
              <w:textAlignment w:val="top"/>
              <w:rPr>
                <w:rFonts w:ascii="Times New Roman" w:hAnsi="Times New Roman" w:eastAsia="方正黑体_GBK" w:cs="Times New Roman"/>
                <w:color w:val="000000"/>
                <w:szCs w:val="21"/>
              </w:rPr>
            </w:pPr>
            <w:r>
              <w:rPr>
                <w:rFonts w:ascii="Times New Roman" w:hAnsi="Times New Roman" w:eastAsia="方正黑体_GBK" w:cs="Times New Roman"/>
                <w:color w:val="000000"/>
                <w:kern w:val="0"/>
                <w:szCs w:val="21"/>
                <w:lang w:bidi="ar"/>
              </w:rPr>
              <w:t>经济发展</w:t>
            </w: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756C6E89">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1.地区生产总值增长（%）</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5BD97727">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7</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40BCF6E6">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2C58A654">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7.5</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5FF1B703">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200F9BAC">
        <w:tblPrEx>
          <w:tblCellMar>
            <w:top w:w="0" w:type="dxa"/>
            <w:left w:w="108" w:type="dxa"/>
            <w:bottom w:w="0" w:type="dxa"/>
            <w:right w:w="108" w:type="dxa"/>
          </w:tblCellMar>
        </w:tblPrEx>
        <w:trPr>
          <w:trHeight w:val="419" w:hRule="atLeast"/>
          <w:jc w:val="center"/>
        </w:trPr>
        <w:tc>
          <w:tcPr>
            <w:tcW w:w="747" w:type="dxa"/>
            <w:vMerge w:val="continue"/>
            <w:tcBorders>
              <w:left w:val="single" w:color="000000" w:sz="4" w:space="0"/>
              <w:right w:val="single" w:color="000000" w:sz="4" w:space="0"/>
            </w:tcBorders>
            <w:noWrap/>
            <w:vAlign w:val="center"/>
          </w:tcPr>
          <w:p w14:paraId="3A1CA80A">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78675781">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2.人均地区生产总值（万元）*</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2F94E1D5">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17.5</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DA8667E">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保持苏北前列</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4070DFDE">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4549174C">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0B653789">
        <w:tblPrEx>
          <w:tblCellMar>
            <w:top w:w="0" w:type="dxa"/>
            <w:left w:w="108" w:type="dxa"/>
            <w:bottom w:w="0" w:type="dxa"/>
            <w:right w:w="108" w:type="dxa"/>
          </w:tblCellMar>
        </w:tblPrEx>
        <w:trPr>
          <w:trHeight w:val="419" w:hRule="atLeast"/>
          <w:jc w:val="center"/>
        </w:trPr>
        <w:tc>
          <w:tcPr>
            <w:tcW w:w="747" w:type="dxa"/>
            <w:vMerge w:val="continue"/>
            <w:tcBorders>
              <w:left w:val="single" w:color="000000" w:sz="4" w:space="0"/>
              <w:right w:val="single" w:color="000000" w:sz="4" w:space="0"/>
            </w:tcBorders>
            <w:noWrap/>
            <w:vAlign w:val="center"/>
          </w:tcPr>
          <w:p w14:paraId="11D3DFE4">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0840EF78">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3.一般公共预算收入增长率（%）*</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3E2F8691">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8.2</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404A3674">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7A17C871">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6.5</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D71A21D">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6665A524">
        <w:tblPrEx>
          <w:tblCellMar>
            <w:top w:w="0" w:type="dxa"/>
            <w:left w:w="108" w:type="dxa"/>
            <w:bottom w:w="0" w:type="dxa"/>
            <w:right w:w="108" w:type="dxa"/>
          </w:tblCellMar>
        </w:tblPrEx>
        <w:trPr>
          <w:trHeight w:val="419" w:hRule="atLeast"/>
          <w:jc w:val="center"/>
        </w:trPr>
        <w:tc>
          <w:tcPr>
            <w:tcW w:w="747" w:type="dxa"/>
            <w:vMerge w:val="continue"/>
            <w:tcBorders>
              <w:left w:val="single" w:color="000000" w:sz="4" w:space="0"/>
              <w:right w:val="single" w:color="000000" w:sz="4" w:space="0"/>
            </w:tcBorders>
            <w:noWrap/>
            <w:vAlign w:val="center"/>
          </w:tcPr>
          <w:p w14:paraId="45104621">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1C5F4525">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4.制造业增加值占比（%）</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0DEC582A">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32</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3EFEEDD1">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35</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54F64B5C">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07B5D980">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622C9237">
        <w:tblPrEx>
          <w:tblCellMar>
            <w:top w:w="0" w:type="dxa"/>
            <w:left w:w="108" w:type="dxa"/>
            <w:bottom w:w="0" w:type="dxa"/>
            <w:right w:w="108" w:type="dxa"/>
          </w:tblCellMar>
        </w:tblPrEx>
        <w:trPr>
          <w:trHeight w:val="419" w:hRule="atLeast"/>
          <w:jc w:val="center"/>
        </w:trPr>
        <w:tc>
          <w:tcPr>
            <w:tcW w:w="747" w:type="dxa"/>
            <w:vMerge w:val="continue"/>
            <w:tcBorders>
              <w:left w:val="single" w:color="000000" w:sz="4" w:space="0"/>
              <w:right w:val="single" w:color="000000" w:sz="4" w:space="0"/>
            </w:tcBorders>
            <w:noWrap/>
            <w:vAlign w:val="center"/>
          </w:tcPr>
          <w:p w14:paraId="647D4545">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34D75730">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5.规上生产性服务业营业收入年均增速（%）</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44388E3A">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48B50CFA">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64BFBEB7">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18</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2B0461E7">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7E7A89B6">
        <w:tblPrEx>
          <w:tblCellMar>
            <w:top w:w="0" w:type="dxa"/>
            <w:left w:w="108" w:type="dxa"/>
            <w:bottom w:w="0" w:type="dxa"/>
            <w:right w:w="108" w:type="dxa"/>
          </w:tblCellMar>
        </w:tblPrEx>
        <w:trPr>
          <w:trHeight w:val="419" w:hRule="atLeast"/>
          <w:jc w:val="center"/>
        </w:trPr>
        <w:tc>
          <w:tcPr>
            <w:tcW w:w="747" w:type="dxa"/>
            <w:vMerge w:val="continue"/>
            <w:tcBorders>
              <w:left w:val="single" w:color="000000" w:sz="4" w:space="0"/>
              <w:bottom w:val="single" w:color="000000" w:sz="4" w:space="0"/>
              <w:right w:val="single" w:color="000000" w:sz="4" w:space="0"/>
            </w:tcBorders>
            <w:noWrap/>
            <w:vAlign w:val="center"/>
          </w:tcPr>
          <w:p w14:paraId="62F223C4">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7E530398">
            <w:pPr>
              <w:widowControl/>
              <w:snapToGrid w:val="0"/>
              <w:spacing w:line="240" w:lineRule="exact"/>
              <w:jc w:val="left"/>
              <w:rPr>
                <w:rFonts w:ascii="Times New Roman" w:hAnsi="Times New Roman" w:eastAsia="方正仿宋_GBK" w:cs="Times New Roman"/>
                <w:color w:val="000000"/>
                <w:szCs w:val="21"/>
                <w:lang w:bidi="ar"/>
              </w:rPr>
            </w:pPr>
            <w:r>
              <w:rPr>
                <w:rFonts w:hint="eastAsia" w:ascii="Times New Roman" w:hAnsi="Times New Roman" w:eastAsia="方正仿宋_GBK" w:cs="Times New Roman"/>
                <w:color w:val="000000"/>
                <w:szCs w:val="21"/>
                <w:lang w:bidi="ar"/>
              </w:rPr>
              <w:t>6</w:t>
            </w:r>
            <w:r>
              <w:rPr>
                <w:rFonts w:ascii="Times New Roman" w:hAnsi="Times New Roman" w:eastAsia="方正仿宋_GBK" w:cs="Times New Roman"/>
                <w:color w:val="000000"/>
                <w:szCs w:val="21"/>
                <w:lang w:bidi="ar"/>
              </w:rPr>
              <w:t>.</w:t>
            </w:r>
            <w:r>
              <w:rPr>
                <w:rFonts w:hint="eastAsia" w:ascii="Times New Roman" w:hAnsi="Times New Roman" w:eastAsia="方正仿宋_GBK" w:cs="Times New Roman"/>
                <w:color w:val="000000"/>
                <w:szCs w:val="21"/>
                <w:lang w:bidi="ar"/>
              </w:rPr>
              <w:t>地区规模以上文化产业企业营业收入（亿元）</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51BDE5EA">
            <w:pPr>
              <w:widowControl/>
              <w:snapToGrid w:val="0"/>
              <w:spacing w:line="240" w:lineRule="exact"/>
              <w:jc w:val="center"/>
              <w:rPr>
                <w:rFonts w:ascii="Times New Roman" w:hAnsi="Times New Roman" w:eastAsia="方正仿宋_GBK" w:cs="Times New Roman"/>
                <w:color w:val="000000"/>
                <w:szCs w:val="21"/>
                <w:lang w:bidi="ar"/>
              </w:rPr>
            </w:pPr>
            <w:r>
              <w:rPr>
                <w:rFonts w:hint="eastAsia" w:ascii="Times New Roman" w:hAnsi="Times New Roman" w:eastAsia="方正仿宋_GBK" w:cs="Times New Roman"/>
                <w:color w:val="000000"/>
                <w:szCs w:val="21"/>
                <w:lang w:bidi="ar"/>
              </w:rPr>
              <w:t>6</w:t>
            </w:r>
            <w:r>
              <w:rPr>
                <w:rFonts w:ascii="Times New Roman" w:hAnsi="Times New Roman" w:eastAsia="方正仿宋_GBK" w:cs="Times New Roman"/>
                <w:color w:val="000000"/>
                <w:szCs w:val="21"/>
                <w:lang w:bidi="ar"/>
              </w:rPr>
              <w:t>0.4</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D2A1A0C">
            <w:pPr>
              <w:widowControl/>
              <w:snapToGrid w:val="0"/>
              <w:spacing w:line="240" w:lineRule="exact"/>
              <w:jc w:val="center"/>
              <w:rPr>
                <w:rFonts w:ascii="Times New Roman" w:hAnsi="Times New Roman" w:eastAsia="方正仿宋_GBK" w:cs="Times New Roman"/>
                <w:color w:val="000000"/>
                <w:szCs w:val="21"/>
              </w:rPr>
            </w:pPr>
            <w:r>
              <w:rPr>
                <w:rFonts w:hint="eastAsia" w:ascii="Times New Roman" w:hAnsi="Times New Roman" w:eastAsia="方正仿宋_GBK" w:cs="Times New Roman"/>
                <w:color w:val="000000"/>
                <w:szCs w:val="21"/>
              </w:rPr>
              <w:t>—</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5336289B">
            <w:pPr>
              <w:widowControl/>
              <w:snapToGrid w:val="0"/>
              <w:spacing w:line="240" w:lineRule="exact"/>
              <w:jc w:val="center"/>
              <w:rPr>
                <w:rFonts w:ascii="Times New Roman" w:hAnsi="Times New Roman" w:eastAsia="方正仿宋_GBK" w:cs="Times New Roman"/>
                <w:color w:val="000000"/>
                <w:szCs w:val="21"/>
              </w:rPr>
            </w:pPr>
            <w:r>
              <w:rPr>
                <w:rFonts w:hint="eastAsia" w:ascii="Times New Roman" w:hAnsi="Times New Roman" w:eastAsia="方正仿宋_GBK" w:cs="Times New Roman"/>
                <w:color w:val="000000"/>
                <w:szCs w:val="21"/>
              </w:rPr>
              <w:t>7</w:t>
            </w:r>
            <w:r>
              <w:rPr>
                <w:rFonts w:ascii="Times New Roman" w:hAnsi="Times New Roman" w:eastAsia="方正仿宋_GBK" w:cs="Times New Roman"/>
                <w:color w:val="000000"/>
                <w:szCs w:val="21"/>
              </w:rPr>
              <w:t>.5</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5FC0B206">
            <w:pPr>
              <w:widowControl/>
              <w:snapToGrid w:val="0"/>
              <w:spacing w:line="240" w:lineRule="exact"/>
              <w:jc w:val="center"/>
              <w:rPr>
                <w:rFonts w:ascii="Times New Roman" w:hAnsi="Times New Roman" w:eastAsia="方正仿宋_GBK" w:cs="Times New Roman"/>
                <w:color w:val="000000"/>
                <w:szCs w:val="21"/>
                <w:lang w:bidi="ar"/>
              </w:rPr>
            </w:pPr>
            <w:r>
              <w:rPr>
                <w:rFonts w:hint="eastAsia" w:ascii="Times New Roman" w:hAnsi="Times New Roman" w:eastAsia="方正仿宋_GBK" w:cs="Times New Roman"/>
                <w:color w:val="000000"/>
                <w:szCs w:val="21"/>
                <w:lang w:bidi="ar"/>
              </w:rPr>
              <w:t>预期性</w:t>
            </w:r>
          </w:p>
        </w:tc>
      </w:tr>
      <w:tr w14:paraId="22F1E07F">
        <w:tblPrEx>
          <w:tblCellMar>
            <w:top w:w="0" w:type="dxa"/>
            <w:left w:w="108" w:type="dxa"/>
            <w:bottom w:w="0" w:type="dxa"/>
            <w:right w:w="108" w:type="dxa"/>
          </w:tblCellMar>
        </w:tblPrEx>
        <w:trPr>
          <w:trHeight w:val="419" w:hRule="atLeast"/>
          <w:jc w:val="center"/>
        </w:trPr>
        <w:tc>
          <w:tcPr>
            <w:tcW w:w="747" w:type="dxa"/>
            <w:vMerge w:val="restart"/>
            <w:tcBorders>
              <w:top w:val="single" w:color="000000" w:sz="4" w:space="0"/>
              <w:left w:val="single" w:color="000000" w:sz="4" w:space="0"/>
              <w:bottom w:val="nil"/>
              <w:right w:val="single" w:color="000000" w:sz="4" w:space="0"/>
            </w:tcBorders>
            <w:noWrap/>
            <w:vAlign w:val="center"/>
          </w:tcPr>
          <w:p w14:paraId="3E01FCC9">
            <w:pPr>
              <w:widowControl/>
              <w:jc w:val="center"/>
              <w:textAlignment w:val="top"/>
              <w:rPr>
                <w:rFonts w:ascii="Times New Roman" w:hAnsi="Times New Roman" w:eastAsia="方正黑体_GBK" w:cs="Times New Roman"/>
                <w:color w:val="000000"/>
                <w:szCs w:val="21"/>
              </w:rPr>
            </w:pPr>
            <w:r>
              <w:rPr>
                <w:rFonts w:ascii="Times New Roman" w:hAnsi="Times New Roman" w:eastAsia="方正黑体_GBK" w:cs="Times New Roman"/>
                <w:color w:val="000000"/>
                <w:kern w:val="0"/>
                <w:szCs w:val="21"/>
                <w:lang w:bidi="ar"/>
              </w:rPr>
              <w:t>创新驱动</w:t>
            </w: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6D4B739F">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7.规上企业研发经费投入增长（%）</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029F9B58">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12</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401726C2">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5336A543">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20</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26EE270">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6BEB48DF">
        <w:tblPrEx>
          <w:tblCellMar>
            <w:top w:w="0" w:type="dxa"/>
            <w:left w:w="108" w:type="dxa"/>
            <w:bottom w:w="0" w:type="dxa"/>
            <w:right w:w="108" w:type="dxa"/>
          </w:tblCellMar>
        </w:tblPrEx>
        <w:trPr>
          <w:trHeight w:val="506" w:hRule="atLeast"/>
          <w:jc w:val="center"/>
        </w:trPr>
        <w:tc>
          <w:tcPr>
            <w:tcW w:w="747" w:type="dxa"/>
            <w:vMerge w:val="continue"/>
            <w:tcBorders>
              <w:top w:val="single" w:color="000000" w:sz="4" w:space="0"/>
              <w:left w:val="single" w:color="000000" w:sz="4" w:space="0"/>
              <w:bottom w:val="nil"/>
              <w:right w:val="single" w:color="000000" w:sz="4" w:space="0"/>
            </w:tcBorders>
            <w:noWrap/>
            <w:vAlign w:val="center"/>
          </w:tcPr>
          <w:p w14:paraId="343E1AB7">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4D93A942">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8.高新技术产业产值占规模以上工业产值比重（%）</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34D12D75">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40</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57C9AB3B">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46</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6EBAEC71">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140DAE7A">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3A41C945">
        <w:tblPrEx>
          <w:tblCellMar>
            <w:top w:w="0" w:type="dxa"/>
            <w:left w:w="108" w:type="dxa"/>
            <w:bottom w:w="0" w:type="dxa"/>
            <w:right w:w="108" w:type="dxa"/>
          </w:tblCellMar>
        </w:tblPrEx>
        <w:trPr>
          <w:trHeight w:val="522" w:hRule="atLeast"/>
          <w:jc w:val="center"/>
        </w:trPr>
        <w:tc>
          <w:tcPr>
            <w:tcW w:w="747" w:type="dxa"/>
            <w:vMerge w:val="continue"/>
            <w:tcBorders>
              <w:top w:val="single" w:color="000000" w:sz="4" w:space="0"/>
              <w:left w:val="single" w:color="000000" w:sz="4" w:space="0"/>
              <w:bottom w:val="nil"/>
              <w:right w:val="single" w:color="000000" w:sz="4" w:space="0"/>
            </w:tcBorders>
            <w:noWrap/>
            <w:vAlign w:val="center"/>
          </w:tcPr>
          <w:p w14:paraId="3C5788F3">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052DA886">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9.规上数字经济核心产业营业收入占规上企业营业收入总值比重（%）*</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43A6D2C7">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4.5</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1F0FBAD">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7</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44F3FE74">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5F75837A">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19223F3D">
        <w:tblPrEx>
          <w:tblCellMar>
            <w:top w:w="0" w:type="dxa"/>
            <w:left w:w="108" w:type="dxa"/>
            <w:bottom w:w="0" w:type="dxa"/>
            <w:right w:w="108" w:type="dxa"/>
          </w:tblCellMar>
        </w:tblPrEx>
        <w:trPr>
          <w:trHeight w:val="419" w:hRule="atLeast"/>
          <w:jc w:val="center"/>
        </w:trPr>
        <w:tc>
          <w:tcPr>
            <w:tcW w:w="747" w:type="dxa"/>
            <w:vMerge w:val="continue"/>
            <w:tcBorders>
              <w:top w:val="single" w:color="000000" w:sz="4" w:space="0"/>
              <w:left w:val="single" w:color="000000" w:sz="4" w:space="0"/>
              <w:bottom w:val="nil"/>
              <w:right w:val="single" w:color="000000" w:sz="4" w:space="0"/>
            </w:tcBorders>
            <w:noWrap/>
            <w:vAlign w:val="center"/>
          </w:tcPr>
          <w:p w14:paraId="08D32FC4">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28DC218F">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10.每万人口高价值发明专利拥有量（件）</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20003CFF">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29.6</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4430D881">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40</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20EEACD9">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F69CE74">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31D8D9DB">
        <w:tblPrEx>
          <w:tblCellMar>
            <w:top w:w="0" w:type="dxa"/>
            <w:left w:w="108" w:type="dxa"/>
            <w:bottom w:w="0" w:type="dxa"/>
            <w:right w:w="108" w:type="dxa"/>
          </w:tblCellMar>
        </w:tblPrEx>
        <w:trPr>
          <w:trHeight w:val="419" w:hRule="atLeast"/>
          <w:jc w:val="center"/>
        </w:trPr>
        <w:tc>
          <w:tcPr>
            <w:tcW w:w="747" w:type="dxa"/>
            <w:vMerge w:val="continue"/>
            <w:tcBorders>
              <w:top w:val="single" w:color="000000" w:sz="4" w:space="0"/>
              <w:left w:val="single" w:color="000000" w:sz="4" w:space="0"/>
              <w:bottom w:val="nil"/>
              <w:right w:val="single" w:color="000000" w:sz="4" w:space="0"/>
            </w:tcBorders>
            <w:noWrap/>
            <w:vAlign w:val="center"/>
          </w:tcPr>
          <w:p w14:paraId="51E0CDD1">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3844AFC8">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11.新增人才数（万人）</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3E1851DD">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46096CB1">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729BA13B">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[1.5]</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578559F4">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79DC9C6D">
        <w:tblPrEx>
          <w:tblCellMar>
            <w:top w:w="0" w:type="dxa"/>
            <w:left w:w="108" w:type="dxa"/>
            <w:bottom w:w="0" w:type="dxa"/>
            <w:right w:w="108" w:type="dxa"/>
          </w:tblCellMar>
        </w:tblPrEx>
        <w:trPr>
          <w:trHeight w:val="419" w:hRule="atLeast"/>
          <w:jc w:val="center"/>
        </w:trPr>
        <w:tc>
          <w:tcPr>
            <w:tcW w:w="747" w:type="dxa"/>
            <w:vMerge w:val="restart"/>
            <w:tcBorders>
              <w:top w:val="single" w:color="000000" w:sz="4" w:space="0"/>
              <w:left w:val="single" w:color="000000" w:sz="4" w:space="0"/>
              <w:right w:val="single" w:color="000000" w:sz="4" w:space="0"/>
            </w:tcBorders>
            <w:noWrap/>
            <w:vAlign w:val="center"/>
          </w:tcPr>
          <w:p w14:paraId="672A75D5">
            <w:pPr>
              <w:jc w:val="center"/>
              <w:textAlignment w:val="top"/>
              <w:rPr>
                <w:rFonts w:ascii="Times New Roman" w:hAnsi="Times New Roman" w:eastAsia="方正黑体_GBK" w:cs="Times New Roman"/>
                <w:color w:val="000000"/>
                <w:kern w:val="0"/>
                <w:szCs w:val="21"/>
                <w:lang w:bidi="ar"/>
              </w:rPr>
            </w:pPr>
            <w:r>
              <w:rPr>
                <w:rFonts w:ascii="Times New Roman" w:hAnsi="Times New Roman" w:eastAsia="方正黑体_GBK" w:cs="Times New Roman"/>
                <w:color w:val="000000"/>
                <w:kern w:val="0"/>
                <w:szCs w:val="21"/>
                <w:lang w:bidi="ar"/>
              </w:rPr>
              <w:t>绿色转型</w:t>
            </w: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62F74CF6">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12.单位GDP二氧化碳排放降低（%）</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44505860">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完成市定目标</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595B4100">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完成市定目标</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1CD98CF2">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6100E1A0">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约束性</w:t>
            </w:r>
          </w:p>
        </w:tc>
      </w:tr>
      <w:tr w14:paraId="1908FDD1">
        <w:tblPrEx>
          <w:tblCellMar>
            <w:top w:w="0" w:type="dxa"/>
            <w:left w:w="108" w:type="dxa"/>
            <w:bottom w:w="0" w:type="dxa"/>
            <w:right w:w="108" w:type="dxa"/>
          </w:tblCellMar>
        </w:tblPrEx>
        <w:trPr>
          <w:trHeight w:val="419" w:hRule="atLeast"/>
          <w:jc w:val="center"/>
        </w:trPr>
        <w:tc>
          <w:tcPr>
            <w:tcW w:w="747" w:type="dxa"/>
            <w:vMerge w:val="continue"/>
            <w:tcBorders>
              <w:left w:val="single" w:color="000000" w:sz="4" w:space="0"/>
              <w:right w:val="single" w:color="000000" w:sz="4" w:space="0"/>
            </w:tcBorders>
            <w:noWrap/>
            <w:vAlign w:val="center"/>
          </w:tcPr>
          <w:p w14:paraId="1F69F19E">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3E670327">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13.优良水体比例（%）</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10F0D752">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02812AB4">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完成市定目标</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304FDA90">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02808F60">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约束性</w:t>
            </w:r>
          </w:p>
        </w:tc>
      </w:tr>
      <w:tr w14:paraId="73C4EDE8">
        <w:tblPrEx>
          <w:tblCellMar>
            <w:top w:w="0" w:type="dxa"/>
            <w:left w:w="108" w:type="dxa"/>
            <w:bottom w:w="0" w:type="dxa"/>
            <w:right w:w="108" w:type="dxa"/>
          </w:tblCellMar>
        </w:tblPrEx>
        <w:trPr>
          <w:trHeight w:val="419" w:hRule="atLeast"/>
          <w:jc w:val="center"/>
        </w:trPr>
        <w:tc>
          <w:tcPr>
            <w:tcW w:w="747" w:type="dxa"/>
            <w:vMerge w:val="continue"/>
            <w:tcBorders>
              <w:left w:val="single" w:color="000000" w:sz="4" w:space="0"/>
              <w:right w:val="single" w:color="000000" w:sz="4" w:space="0"/>
            </w:tcBorders>
            <w:noWrap/>
            <w:vAlign w:val="center"/>
          </w:tcPr>
          <w:p w14:paraId="08FDE74A">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0F9EBA62">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14.细颗粒物（PM</w:t>
            </w:r>
            <w:r>
              <w:rPr>
                <w:rFonts w:ascii="Times New Roman" w:hAnsi="Times New Roman" w:eastAsia="方正仿宋_GBK" w:cs="Times New Roman"/>
                <w:color w:val="000000"/>
                <w:szCs w:val="21"/>
                <w:vertAlign w:val="subscript"/>
                <w:lang w:bidi="ar"/>
              </w:rPr>
              <w:t>2.5</w:t>
            </w:r>
            <w:r>
              <w:rPr>
                <w:rFonts w:ascii="Times New Roman" w:hAnsi="Times New Roman" w:eastAsia="方正仿宋_GBK" w:cs="Times New Roman"/>
                <w:color w:val="000000"/>
                <w:szCs w:val="21"/>
                <w:lang w:bidi="ar"/>
              </w:rPr>
              <w:t>）浓度（微克/立方米）</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5760F36E">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31</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3D6794C8">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完成省定目标</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49C3A3FB">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176C087">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约束性</w:t>
            </w:r>
          </w:p>
        </w:tc>
      </w:tr>
      <w:tr w14:paraId="6BB60152">
        <w:tblPrEx>
          <w:tblCellMar>
            <w:top w:w="0" w:type="dxa"/>
            <w:left w:w="108" w:type="dxa"/>
            <w:bottom w:w="0" w:type="dxa"/>
            <w:right w:w="108" w:type="dxa"/>
          </w:tblCellMar>
        </w:tblPrEx>
        <w:trPr>
          <w:trHeight w:val="419" w:hRule="atLeast"/>
          <w:jc w:val="center"/>
        </w:trPr>
        <w:tc>
          <w:tcPr>
            <w:tcW w:w="747" w:type="dxa"/>
            <w:vMerge w:val="continue"/>
            <w:tcBorders>
              <w:left w:val="single" w:color="000000" w:sz="4" w:space="0"/>
              <w:bottom w:val="nil"/>
              <w:right w:val="single" w:color="000000" w:sz="4" w:space="0"/>
            </w:tcBorders>
            <w:noWrap/>
            <w:vAlign w:val="center"/>
          </w:tcPr>
          <w:p w14:paraId="64E7C8A7">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2B0993BF">
            <w:pPr>
              <w:widowControl/>
              <w:snapToGrid w:val="0"/>
              <w:spacing w:line="240" w:lineRule="exact"/>
              <w:jc w:val="left"/>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15.森林覆盖率（%）</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2975E180">
            <w:pPr>
              <w:widowControl/>
              <w:snapToGrid w:val="0"/>
              <w:spacing w:line="240" w:lineRule="exact"/>
              <w:jc w:val="center"/>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2A58C08C">
            <w:pPr>
              <w:widowControl/>
              <w:snapToGrid w:val="0"/>
              <w:spacing w:line="240" w:lineRule="exact"/>
              <w:jc w:val="center"/>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完成省定目标</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29DF748E">
            <w:pPr>
              <w:widowControl/>
              <w:snapToGrid w:val="0"/>
              <w:spacing w:line="240" w:lineRule="exact"/>
              <w:jc w:val="center"/>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C87402D">
            <w:pPr>
              <w:widowControl/>
              <w:snapToGrid w:val="0"/>
              <w:spacing w:line="240" w:lineRule="exact"/>
              <w:jc w:val="center"/>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约束性</w:t>
            </w:r>
          </w:p>
        </w:tc>
      </w:tr>
      <w:tr w14:paraId="5695D308">
        <w:tblPrEx>
          <w:tblCellMar>
            <w:top w:w="0" w:type="dxa"/>
            <w:left w:w="108" w:type="dxa"/>
            <w:bottom w:w="0" w:type="dxa"/>
            <w:right w:w="108" w:type="dxa"/>
          </w:tblCellMar>
        </w:tblPrEx>
        <w:trPr>
          <w:trHeight w:val="419" w:hRule="atLeast"/>
          <w:jc w:val="center"/>
        </w:trPr>
        <w:tc>
          <w:tcPr>
            <w:tcW w:w="747" w:type="dxa"/>
            <w:vMerge w:val="restart"/>
            <w:tcBorders>
              <w:top w:val="single" w:color="000000" w:sz="4" w:space="0"/>
              <w:left w:val="single" w:color="000000" w:sz="4" w:space="0"/>
              <w:bottom w:val="single" w:color="000000" w:sz="4" w:space="0"/>
              <w:right w:val="single" w:color="000000" w:sz="4" w:space="0"/>
            </w:tcBorders>
            <w:noWrap/>
            <w:vAlign w:val="center"/>
          </w:tcPr>
          <w:p w14:paraId="405D941C">
            <w:pPr>
              <w:widowControl/>
              <w:spacing w:line="240" w:lineRule="atLeast"/>
              <w:jc w:val="center"/>
              <w:rPr>
                <w:rFonts w:ascii="Times New Roman" w:hAnsi="Times New Roman" w:eastAsia="方正黑体_GBK" w:cs="Times New Roman"/>
                <w:color w:val="000000"/>
                <w:szCs w:val="21"/>
              </w:rPr>
            </w:pPr>
            <w:r>
              <w:rPr>
                <w:rFonts w:ascii="Times New Roman" w:hAnsi="Times New Roman" w:eastAsia="方正黑体_GBK" w:cs="Times New Roman"/>
                <w:color w:val="000000"/>
                <w:szCs w:val="21"/>
                <w:lang w:bidi="ar"/>
              </w:rPr>
              <w:t>民生福祉</w:t>
            </w: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6107D09C">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16.居民人均可支配收入增长率（%）</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03DAD3BB">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6</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CF9655A">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06B22549">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6.5</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B4D1119">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3430D37D">
        <w:tblPrEx>
          <w:tblCellMar>
            <w:top w:w="0" w:type="dxa"/>
            <w:left w:w="108" w:type="dxa"/>
            <w:bottom w:w="0" w:type="dxa"/>
            <w:right w:w="108" w:type="dxa"/>
          </w:tblCellMar>
        </w:tblPrEx>
        <w:trPr>
          <w:trHeight w:val="419"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noWrap/>
            <w:vAlign w:val="center"/>
          </w:tcPr>
          <w:p w14:paraId="4CCDC9EC">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0DC851C8">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17.城镇新增就业人数（万人）*</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58F62079">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0.24</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548B259">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rPr>
              <w:t>—</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00EEEBDC">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[1.2]</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68DAFD35">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7796F986">
        <w:tblPrEx>
          <w:tblCellMar>
            <w:top w:w="0" w:type="dxa"/>
            <w:left w:w="108" w:type="dxa"/>
            <w:bottom w:w="0" w:type="dxa"/>
            <w:right w:w="108" w:type="dxa"/>
          </w:tblCellMar>
        </w:tblPrEx>
        <w:trPr>
          <w:trHeight w:val="419"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noWrap/>
            <w:vAlign w:val="center"/>
          </w:tcPr>
          <w:p w14:paraId="502E43AB">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19E6C81F">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18.人均预期寿命（岁）</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45980E4D">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81.2</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5696CEC">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82</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6884887A">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3F749C24">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0EB8C667">
        <w:tblPrEx>
          <w:tblCellMar>
            <w:top w:w="0" w:type="dxa"/>
            <w:left w:w="108" w:type="dxa"/>
            <w:bottom w:w="0" w:type="dxa"/>
            <w:right w:w="108" w:type="dxa"/>
          </w:tblCellMar>
        </w:tblPrEx>
        <w:trPr>
          <w:trHeight w:val="419"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noWrap/>
            <w:vAlign w:val="center"/>
          </w:tcPr>
          <w:p w14:paraId="75EF91D2">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02BA2725">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19.每千人口拥有执业医师数（人）</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3A7C61AD">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3.7</w:t>
            </w:r>
            <w:r>
              <w:rPr>
                <w:rFonts w:hint="eastAsia" w:ascii="Times New Roman" w:hAnsi="Times New Roman" w:eastAsia="方正仿宋_GBK" w:cs="Times New Roman"/>
                <w:color w:val="000000"/>
                <w:szCs w:val="21"/>
                <w:lang w:bidi="ar"/>
              </w:rPr>
              <w:t>3</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50BBFC45">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3.85</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56C9CC6A">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16B3E72F">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497BA85E">
        <w:tblPrEx>
          <w:tblCellMar>
            <w:top w:w="0" w:type="dxa"/>
            <w:left w:w="108" w:type="dxa"/>
            <w:bottom w:w="0" w:type="dxa"/>
            <w:right w:w="108" w:type="dxa"/>
          </w:tblCellMar>
        </w:tblPrEx>
        <w:trPr>
          <w:trHeight w:val="419"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noWrap/>
            <w:vAlign w:val="center"/>
          </w:tcPr>
          <w:p w14:paraId="61A0061A">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5317057C">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20.每千人口拥有注册护士数（人）</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353A516C">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4.14</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19525AE1">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4.25</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07751786">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3214227B">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20028C67">
        <w:tblPrEx>
          <w:tblCellMar>
            <w:top w:w="0" w:type="dxa"/>
            <w:left w:w="108" w:type="dxa"/>
            <w:bottom w:w="0" w:type="dxa"/>
            <w:right w:w="108" w:type="dxa"/>
          </w:tblCellMar>
        </w:tblPrEx>
        <w:trPr>
          <w:trHeight w:val="419"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noWrap/>
            <w:vAlign w:val="center"/>
          </w:tcPr>
          <w:p w14:paraId="27F6F644">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4852598E">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21.养老机构护理型床位占比（%）</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1A428809">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71.88</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056986E2">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80</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3C6835C3">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04E35362">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预期性</w:t>
            </w:r>
          </w:p>
        </w:tc>
      </w:tr>
      <w:tr w14:paraId="17A79DAA">
        <w:tblPrEx>
          <w:tblCellMar>
            <w:top w:w="0" w:type="dxa"/>
            <w:left w:w="108" w:type="dxa"/>
            <w:bottom w:w="0" w:type="dxa"/>
            <w:right w:w="108" w:type="dxa"/>
          </w:tblCellMar>
        </w:tblPrEx>
        <w:trPr>
          <w:trHeight w:val="419" w:hRule="atLeast"/>
          <w:jc w:val="center"/>
        </w:trPr>
        <w:tc>
          <w:tcPr>
            <w:tcW w:w="747" w:type="dxa"/>
            <w:vMerge w:val="restart"/>
            <w:tcBorders>
              <w:top w:val="single" w:color="000000" w:sz="4" w:space="0"/>
              <w:left w:val="single" w:color="000000" w:sz="4" w:space="0"/>
              <w:right w:val="single" w:color="000000" w:sz="4" w:space="0"/>
            </w:tcBorders>
            <w:noWrap/>
            <w:vAlign w:val="center"/>
          </w:tcPr>
          <w:p w14:paraId="1CD10EEE">
            <w:pPr>
              <w:widowControl/>
              <w:spacing w:line="300" w:lineRule="exact"/>
              <w:jc w:val="center"/>
              <w:textAlignment w:val="top"/>
              <w:rPr>
                <w:rFonts w:ascii="Times New Roman" w:hAnsi="Times New Roman" w:eastAsia="方正黑体_GBK" w:cs="Times New Roman"/>
                <w:color w:val="000000"/>
                <w:kern w:val="0"/>
                <w:szCs w:val="21"/>
                <w:lang w:bidi="ar"/>
              </w:rPr>
            </w:pPr>
            <w:r>
              <w:rPr>
                <w:rFonts w:ascii="Times New Roman" w:hAnsi="Times New Roman" w:eastAsia="方正黑体_GBK" w:cs="Times New Roman"/>
                <w:color w:val="000000"/>
                <w:kern w:val="0"/>
                <w:szCs w:val="21"/>
                <w:lang w:bidi="ar"/>
              </w:rPr>
              <w:t>安全保障</w:t>
            </w: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1B368D31">
            <w:pPr>
              <w:widowControl/>
              <w:snapToGrid w:val="0"/>
              <w:spacing w:line="240" w:lineRule="exact"/>
              <w:jc w:val="left"/>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22.法治建设满意度（%）</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16D34448">
            <w:pPr>
              <w:widowControl/>
              <w:snapToGrid w:val="0"/>
              <w:spacing w:line="240" w:lineRule="exact"/>
              <w:jc w:val="center"/>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92.5</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41EF2977">
            <w:pPr>
              <w:widowControl/>
              <w:snapToGrid w:val="0"/>
              <w:spacing w:line="240" w:lineRule="exact"/>
              <w:jc w:val="center"/>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93</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0F1693A0">
            <w:pPr>
              <w:widowControl/>
              <w:snapToGrid w:val="0"/>
              <w:spacing w:line="240" w:lineRule="exact"/>
              <w:jc w:val="center"/>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702A08FC">
            <w:pPr>
              <w:widowControl/>
              <w:snapToGrid w:val="0"/>
              <w:spacing w:line="240" w:lineRule="exact"/>
              <w:jc w:val="center"/>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预期性</w:t>
            </w:r>
          </w:p>
        </w:tc>
      </w:tr>
      <w:tr w14:paraId="23FEB31C">
        <w:tblPrEx>
          <w:tblCellMar>
            <w:top w:w="0" w:type="dxa"/>
            <w:left w:w="108" w:type="dxa"/>
            <w:bottom w:w="0" w:type="dxa"/>
            <w:right w:w="108" w:type="dxa"/>
          </w:tblCellMar>
        </w:tblPrEx>
        <w:trPr>
          <w:trHeight w:val="419" w:hRule="atLeast"/>
          <w:jc w:val="center"/>
        </w:trPr>
        <w:tc>
          <w:tcPr>
            <w:tcW w:w="747" w:type="dxa"/>
            <w:vMerge w:val="continue"/>
            <w:tcBorders>
              <w:left w:val="single" w:color="000000" w:sz="4" w:space="0"/>
              <w:right w:val="single" w:color="000000" w:sz="4" w:space="0"/>
            </w:tcBorders>
            <w:noWrap/>
            <w:vAlign w:val="center"/>
          </w:tcPr>
          <w:p w14:paraId="14584ED0">
            <w:pPr>
              <w:widowControl/>
              <w:spacing w:line="300" w:lineRule="exact"/>
              <w:jc w:val="center"/>
              <w:textAlignment w:val="top"/>
              <w:rPr>
                <w:rFonts w:ascii="Times New Roman" w:hAnsi="Times New Roman" w:eastAsia="方正黑体_GBK" w:cs="Times New Roman"/>
                <w:color w:val="000000"/>
                <w:kern w:val="0"/>
                <w:szCs w:val="21"/>
                <w:lang w:bidi="ar"/>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1AD4430D">
            <w:pPr>
              <w:widowControl/>
              <w:snapToGrid w:val="0"/>
              <w:spacing w:line="240" w:lineRule="exact"/>
              <w:jc w:val="left"/>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23.粮食综合生产能力（亿斤）</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5C1D1A1F">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11.57</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637FED47">
            <w:pPr>
              <w:widowControl/>
              <w:snapToGrid w:val="0"/>
              <w:spacing w:line="240" w:lineRule="exact"/>
              <w:jc w:val="center"/>
              <w:rPr>
                <w:rFonts w:ascii="Times New Roman" w:hAnsi="Times New Roman" w:eastAsia="方正仿宋_GBK" w:cs="Times New Roman"/>
                <w:color w:val="000000"/>
                <w:szCs w:val="21"/>
                <w:lang w:bidi="ar"/>
              </w:rPr>
            </w:pPr>
            <w:r>
              <w:rPr>
                <w:rFonts w:ascii="Times New Roman" w:hAnsi="Times New Roman" w:eastAsia="方正仿宋_GBK" w:cs="Times New Roman"/>
                <w:color w:val="000000"/>
                <w:szCs w:val="21"/>
                <w:lang w:bidi="ar"/>
              </w:rPr>
              <w:t>保持</w:t>
            </w:r>
          </w:p>
          <w:p w14:paraId="3DBEAAB7">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稳定</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56A7F3DD">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044346C5">
            <w:pPr>
              <w:widowControl/>
              <w:snapToGrid w:val="0"/>
              <w:spacing w:line="240" w:lineRule="exact"/>
              <w:jc w:val="center"/>
              <w:rPr>
                <w:rFonts w:ascii="Times New Roman" w:hAnsi="Times New Roman" w:eastAsia="方正仿宋_GBK" w:cs="Times New Roman"/>
                <w:color w:val="000000"/>
                <w:szCs w:val="21"/>
              </w:rPr>
            </w:pPr>
            <w:r>
              <w:rPr>
                <w:rFonts w:ascii="Times New Roman" w:hAnsi="Times New Roman" w:eastAsia="方正仿宋_GBK" w:cs="Times New Roman"/>
                <w:color w:val="000000"/>
                <w:szCs w:val="21"/>
                <w:lang w:bidi="ar"/>
              </w:rPr>
              <w:t>约束性</w:t>
            </w:r>
          </w:p>
        </w:tc>
      </w:tr>
      <w:tr w14:paraId="6DFDB5AA">
        <w:tblPrEx>
          <w:tblCellMar>
            <w:top w:w="0" w:type="dxa"/>
            <w:left w:w="108" w:type="dxa"/>
            <w:bottom w:w="0" w:type="dxa"/>
            <w:right w:w="108" w:type="dxa"/>
          </w:tblCellMar>
        </w:tblPrEx>
        <w:trPr>
          <w:trHeight w:val="402" w:hRule="atLeast"/>
          <w:jc w:val="center"/>
        </w:trPr>
        <w:tc>
          <w:tcPr>
            <w:tcW w:w="747" w:type="dxa"/>
            <w:vMerge w:val="continue"/>
            <w:tcBorders>
              <w:left w:val="single" w:color="000000" w:sz="4" w:space="0"/>
              <w:bottom w:val="single" w:color="000000" w:sz="4" w:space="0"/>
              <w:right w:val="single" w:color="000000" w:sz="4" w:space="0"/>
            </w:tcBorders>
            <w:noWrap/>
            <w:vAlign w:val="center"/>
          </w:tcPr>
          <w:p w14:paraId="7D29EDD8">
            <w:pPr>
              <w:rPr>
                <w:rFonts w:ascii="Times New Roman" w:hAnsi="Times New Roman" w:eastAsia="等线" w:cs="Times New Roman"/>
                <w:color w:val="000000"/>
                <w:szCs w:val="22"/>
              </w:rPr>
            </w:pPr>
          </w:p>
        </w:tc>
        <w:tc>
          <w:tcPr>
            <w:tcW w:w="4672" w:type="dxa"/>
            <w:tcBorders>
              <w:top w:val="single" w:color="000000" w:sz="4" w:space="0"/>
              <w:left w:val="single" w:color="000000" w:sz="4" w:space="0"/>
              <w:bottom w:val="single" w:color="000000" w:sz="4" w:space="0"/>
              <w:right w:val="single" w:color="000000" w:sz="4" w:space="0"/>
            </w:tcBorders>
            <w:noWrap/>
            <w:vAlign w:val="center"/>
          </w:tcPr>
          <w:p w14:paraId="4C966BE8">
            <w:pPr>
              <w:widowControl/>
              <w:snapToGrid w:val="0"/>
              <w:spacing w:line="240" w:lineRule="exact"/>
              <w:jc w:val="left"/>
              <w:rPr>
                <w:rFonts w:ascii="Times New Roman" w:hAnsi="Times New Roman" w:eastAsia="方正仿宋_GBK" w:cs="Times New Roman"/>
                <w:color w:val="000000"/>
                <w:szCs w:val="21"/>
              </w:rPr>
            </w:pPr>
            <w:r>
              <w:rPr>
                <w:rFonts w:hint="eastAsia" w:ascii="Times New Roman" w:hAnsi="Times New Roman" w:eastAsia="方正仿宋_GBK" w:cs="Times New Roman"/>
                <w:color w:val="000000"/>
                <w:szCs w:val="21"/>
              </w:rPr>
              <w:t>2</w:t>
            </w:r>
            <w:r>
              <w:rPr>
                <w:rFonts w:ascii="Times New Roman" w:hAnsi="Times New Roman" w:eastAsia="方正仿宋_GBK" w:cs="Times New Roman"/>
                <w:color w:val="000000"/>
                <w:szCs w:val="21"/>
              </w:rPr>
              <w:t>4.</w:t>
            </w:r>
            <w:r>
              <w:rPr>
                <w:rFonts w:hint="eastAsia" w:ascii="等线" w:hAnsi="等线" w:eastAsia="等线" w:cs="Times New Roman"/>
              </w:rPr>
              <w:t xml:space="preserve"> </w:t>
            </w:r>
            <w:r>
              <w:rPr>
                <w:rFonts w:hint="eastAsia" w:ascii="Times New Roman" w:hAnsi="Times New Roman" w:eastAsia="方正仿宋_GBK" w:cs="Times New Roman"/>
                <w:color w:val="000000"/>
                <w:szCs w:val="21"/>
              </w:rPr>
              <w:t>生产安全事故死亡人数下降（</w:t>
            </w:r>
            <w:r>
              <w:rPr>
                <w:rFonts w:ascii="Times New Roman" w:hAnsi="Times New Roman" w:eastAsia="方正仿宋_GBK" w:cs="Times New Roman"/>
                <w:color w:val="000000"/>
                <w:szCs w:val="21"/>
              </w:rPr>
              <w:t>%）</w:t>
            </w:r>
          </w:p>
        </w:tc>
        <w:tc>
          <w:tcPr>
            <w:tcW w:w="1038" w:type="dxa"/>
            <w:tcBorders>
              <w:top w:val="single" w:color="000000" w:sz="4" w:space="0"/>
              <w:left w:val="single" w:color="000000" w:sz="4" w:space="0"/>
              <w:bottom w:val="single" w:color="000000" w:sz="4" w:space="0"/>
              <w:right w:val="single" w:color="000000" w:sz="4" w:space="0"/>
            </w:tcBorders>
            <w:noWrap/>
            <w:vAlign w:val="center"/>
          </w:tcPr>
          <w:p w14:paraId="41B6879C">
            <w:pPr>
              <w:widowControl/>
              <w:snapToGrid w:val="0"/>
              <w:spacing w:line="240" w:lineRule="exact"/>
              <w:jc w:val="center"/>
              <w:rPr>
                <w:rFonts w:ascii="Times New Roman" w:hAnsi="Times New Roman" w:eastAsia="方正仿宋_GBK" w:cs="Times New Roman"/>
                <w:color w:val="000000"/>
                <w:szCs w:val="21"/>
              </w:rPr>
            </w:pPr>
            <w:r>
              <w:rPr>
                <w:rFonts w:hint="eastAsia" w:ascii="Times New Roman" w:hAnsi="Times New Roman" w:eastAsia="方正仿宋_GBK" w:cs="Times New Roman"/>
                <w:color w:val="000000"/>
                <w:szCs w:val="21"/>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127D4DD5">
            <w:pPr>
              <w:widowControl/>
              <w:snapToGrid w:val="0"/>
              <w:spacing w:line="240" w:lineRule="exact"/>
              <w:jc w:val="center"/>
              <w:rPr>
                <w:rFonts w:ascii="Times New Roman" w:hAnsi="Times New Roman" w:eastAsia="方正仿宋_GBK" w:cs="Times New Roman"/>
                <w:color w:val="000000"/>
                <w:szCs w:val="21"/>
              </w:rPr>
            </w:pPr>
            <w:r>
              <w:rPr>
                <w:rFonts w:hint="eastAsia" w:ascii="Times New Roman" w:hAnsi="Times New Roman" w:eastAsia="方正仿宋_GBK" w:cs="Times New Roman"/>
                <w:color w:val="000000"/>
                <w:szCs w:val="21"/>
              </w:rPr>
              <w:t>完成市定目标</w:t>
            </w:r>
          </w:p>
        </w:tc>
        <w:tc>
          <w:tcPr>
            <w:tcW w:w="1199" w:type="dxa"/>
            <w:tcBorders>
              <w:top w:val="single" w:color="000000" w:sz="4" w:space="0"/>
              <w:left w:val="single" w:color="000000" w:sz="4" w:space="0"/>
              <w:bottom w:val="single" w:color="000000" w:sz="4" w:space="0"/>
              <w:right w:val="single" w:color="000000" w:sz="4" w:space="0"/>
            </w:tcBorders>
            <w:noWrap/>
            <w:vAlign w:val="center"/>
          </w:tcPr>
          <w:p w14:paraId="6C1F95E7">
            <w:pPr>
              <w:widowControl/>
              <w:snapToGrid w:val="0"/>
              <w:spacing w:line="240" w:lineRule="exact"/>
              <w:jc w:val="center"/>
              <w:rPr>
                <w:rFonts w:ascii="Times New Roman" w:hAnsi="Times New Roman" w:eastAsia="方正仿宋_GBK" w:cs="Times New Roman"/>
                <w:color w:val="000000"/>
                <w:szCs w:val="21"/>
              </w:rPr>
            </w:pPr>
            <w:r>
              <w:rPr>
                <w:rFonts w:hint="eastAsia" w:ascii="Times New Roman" w:hAnsi="Times New Roman" w:eastAsia="方正仿宋_GBK" w:cs="Times New Roman"/>
                <w:color w:val="000000"/>
                <w:szCs w:val="21"/>
              </w:rPr>
              <w:t>—</w:t>
            </w:r>
          </w:p>
        </w:tc>
        <w:tc>
          <w:tcPr>
            <w:tcW w:w="1048" w:type="dxa"/>
            <w:tcBorders>
              <w:top w:val="single" w:color="000000" w:sz="4" w:space="0"/>
              <w:left w:val="single" w:color="000000" w:sz="4" w:space="0"/>
              <w:bottom w:val="single" w:color="000000" w:sz="4" w:space="0"/>
              <w:right w:val="single" w:color="000000" w:sz="4" w:space="0"/>
            </w:tcBorders>
            <w:noWrap/>
            <w:vAlign w:val="center"/>
          </w:tcPr>
          <w:p w14:paraId="12C6C199">
            <w:pPr>
              <w:widowControl/>
              <w:snapToGrid w:val="0"/>
              <w:spacing w:line="240" w:lineRule="exact"/>
              <w:jc w:val="center"/>
              <w:rPr>
                <w:rFonts w:ascii="Times New Roman" w:hAnsi="Times New Roman" w:eastAsia="方正仿宋_GBK" w:cs="Times New Roman"/>
                <w:color w:val="000000"/>
                <w:szCs w:val="21"/>
              </w:rPr>
            </w:pPr>
            <w:r>
              <w:rPr>
                <w:rFonts w:hint="eastAsia" w:ascii="Times New Roman" w:hAnsi="Times New Roman" w:eastAsia="方正仿宋_GBK" w:cs="Times New Roman"/>
                <w:color w:val="000000"/>
                <w:szCs w:val="21"/>
              </w:rPr>
              <w:t>约束性</w:t>
            </w:r>
          </w:p>
        </w:tc>
      </w:tr>
      <w:bookmarkEnd w:id="39"/>
    </w:tbl>
    <w:p w14:paraId="2DAC8022">
      <w:pPr>
        <w:spacing w:line="587" w:lineRule="exact"/>
        <w:ind w:firstLine="560"/>
        <w:rPr>
          <w:rFonts w:ascii="Times New Roman" w:hAnsi="Times New Roman" w:eastAsia="方正楷体_GBK" w:cs="Times New Roman"/>
          <w:color w:val="000000" w:themeColor="text1"/>
          <w:kern w:val="0"/>
          <w:sz w:val="28"/>
          <w:szCs w:val="28"/>
          <w14:textFill>
            <w14:solidFill>
              <w14:schemeClr w14:val="tx1"/>
            </w14:solidFill>
          </w14:textFill>
        </w:rPr>
      </w:pPr>
      <w:r>
        <w:rPr>
          <w:rFonts w:ascii="Times New Roman" w:hAnsi="Times New Roman" w:eastAsia="方正楷体_GBK" w:cs="Times New Roman"/>
          <w:color w:val="000000" w:themeColor="text1"/>
          <w:kern w:val="0"/>
          <w:sz w:val="28"/>
          <w:szCs w:val="28"/>
          <w14:textFill>
            <w14:solidFill>
              <w14:schemeClr w14:val="tx1"/>
            </w14:solidFill>
          </w14:textFill>
        </w:rPr>
        <w:t>备注：[ ]表示5年累计数，*为金湖县地方指标。</w:t>
      </w:r>
    </w:p>
    <w:p w14:paraId="4DBC6E12">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展望2035年，金湖主要指标达到或超过全国县域现代化平均水平，中国式现代化金湖实践取得丰硕成果，建成产业智造之城、水韵文旅之城、活力融汇之城、共富共享之城、文明典范之城，全面呈现“南京都市圈北部智造高地、江淮绿心荷美田园”新金湖的基本现代化图景。</w:t>
      </w:r>
    </w:p>
    <w:p w14:paraId="50D77A96">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40" w:name="_Toc218695832"/>
      <w:r>
        <w:rPr>
          <w:rFonts w:ascii="Times New Roman" w:hAnsi="Times New Roman" w:eastAsia="方正楷体_GBK" w:cs="Times New Roman"/>
          <w:color w:val="000000" w:themeColor="text1"/>
          <w:kern w:val="0"/>
          <w:sz w:val="32"/>
          <w:szCs w:val="32"/>
          <w14:textFill>
            <w14:solidFill>
              <w14:schemeClr w14:val="tx1"/>
            </w14:solidFill>
          </w14:textFill>
        </w:rPr>
        <w:t>第五节  空间布局</w:t>
      </w:r>
      <w:bookmarkEnd w:id="40"/>
    </w:p>
    <w:p w14:paraId="7586A25B">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一核引领。</w:t>
      </w:r>
      <w:r>
        <w:rPr>
          <w:rFonts w:ascii="Times New Roman" w:hAnsi="Times New Roman" w:eastAsia="方正仿宋_GBK" w:cs="Times New Roman"/>
          <w:color w:val="000000" w:themeColor="text1"/>
          <w:kern w:val="0"/>
          <w:sz w:val="32"/>
          <w:szCs w:val="32"/>
          <w14:textFill>
            <w14:solidFill>
              <w14:schemeClr w14:val="tx1"/>
            </w14:solidFill>
          </w14:textFill>
        </w:rPr>
        <w:t>以中心城区为核心</w:t>
      </w:r>
      <w:r>
        <w:rPr>
          <w:rFonts w:ascii="Times New Roman" w:hAnsi="Times New Roman" w:eastAsia="方正仿宋_GBK" w:cs="Times New Roman"/>
          <w:b/>
          <w:bCs/>
          <w:color w:val="000000" w:themeColor="text1"/>
          <w:sz w:val="32"/>
          <w:szCs w:val="32"/>
          <w14:textFill>
            <w14:solidFill>
              <w14:schemeClr w14:val="tx1"/>
            </w14:solidFill>
          </w14:textFill>
        </w:rPr>
        <w:t>主体</w:t>
      </w:r>
      <w:r>
        <w:rPr>
          <w:rFonts w:ascii="Times New Roman" w:hAnsi="Times New Roman" w:eastAsia="方正仿宋_GBK" w:cs="Times New Roman"/>
          <w:color w:val="000000" w:themeColor="text1"/>
          <w:kern w:val="0"/>
          <w:sz w:val="32"/>
          <w:szCs w:val="32"/>
          <w14:textFill>
            <w14:solidFill>
              <w14:schemeClr w14:val="tx1"/>
            </w14:solidFill>
          </w14:textFill>
        </w:rPr>
        <w:t>，打造现代水韵湖城美丽综合体，进一步提升城市的综合承载能力和区域服务能力。</w:t>
      </w:r>
    </w:p>
    <w:p w14:paraId="490F8368">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两翼协同。</w:t>
      </w:r>
      <w:r>
        <w:rPr>
          <w:rFonts w:ascii="Times New Roman" w:hAnsi="Times New Roman" w:eastAsia="方正仿宋_GBK" w:cs="Times New Roman"/>
          <w:color w:val="000000" w:themeColor="text1"/>
          <w:kern w:val="0"/>
          <w:sz w:val="32"/>
          <w:szCs w:val="32"/>
          <w14:textFill>
            <w14:solidFill>
              <w14:schemeClr w14:val="tx1"/>
            </w14:solidFill>
          </w14:textFill>
        </w:rPr>
        <w:t>以吕良镇、前锋镇为主构建</w:t>
      </w:r>
      <w:r>
        <w:rPr>
          <w:rFonts w:ascii="Times New Roman" w:hAnsi="Times New Roman" w:eastAsia="方正仿宋_GBK" w:cs="Times New Roman"/>
          <w:b/>
          <w:bCs/>
          <w:color w:val="000000" w:themeColor="text1"/>
          <w:sz w:val="32"/>
          <w:szCs w:val="32"/>
          <w14:textFill>
            <w14:solidFill>
              <w14:schemeClr w14:val="tx1"/>
            </w14:solidFill>
          </w14:textFill>
        </w:rPr>
        <w:t>环白马湖美丽乡村发展北翼</w:t>
      </w:r>
      <w:r>
        <w:rPr>
          <w:rFonts w:ascii="Times New Roman" w:hAnsi="Times New Roman" w:eastAsia="方正仿宋_GBK" w:cs="Times New Roman"/>
          <w:color w:val="000000" w:themeColor="text1"/>
          <w:kern w:val="0"/>
          <w:sz w:val="32"/>
          <w:szCs w:val="32"/>
          <w14:textFill>
            <w14:solidFill>
              <w14:schemeClr w14:val="tx1"/>
            </w14:solidFill>
          </w14:textFill>
        </w:rPr>
        <w:t>，打造“湿地康养+鱼米之乡”特色发展带。以塔集镇、金南镇为主构建</w:t>
      </w:r>
      <w:r>
        <w:rPr>
          <w:rFonts w:ascii="Times New Roman" w:hAnsi="Times New Roman" w:eastAsia="方正仿宋_GBK" w:cs="Times New Roman"/>
          <w:b/>
          <w:bCs/>
          <w:color w:val="000000" w:themeColor="text1"/>
          <w:sz w:val="32"/>
          <w:szCs w:val="32"/>
          <w14:textFill>
            <w14:solidFill>
              <w14:schemeClr w14:val="tx1"/>
            </w14:solidFill>
          </w14:textFill>
        </w:rPr>
        <w:t>环高邮湖美丽乡村发展南翼</w:t>
      </w:r>
      <w:r>
        <w:rPr>
          <w:rFonts w:ascii="Times New Roman" w:hAnsi="Times New Roman" w:eastAsia="方正仿宋_GBK" w:cs="Times New Roman"/>
          <w:color w:val="000000" w:themeColor="text1"/>
          <w:kern w:val="0"/>
          <w:sz w:val="32"/>
          <w:szCs w:val="32"/>
          <w14:textFill>
            <w14:solidFill>
              <w14:schemeClr w14:val="tx1"/>
            </w14:solidFill>
          </w14:textFill>
        </w:rPr>
        <w:t>，打造“尧乡荷韵+滨湖休闲”特色发展带。</w:t>
      </w:r>
    </w:p>
    <w:p w14:paraId="7330FA7B">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三区统筹。</w:t>
      </w:r>
      <w:r>
        <w:rPr>
          <w:rFonts w:ascii="Times New Roman" w:hAnsi="Times New Roman" w:eastAsia="方正仿宋_GBK" w:cs="Times New Roman"/>
          <w:color w:val="000000" w:themeColor="text1"/>
          <w:kern w:val="0"/>
          <w:sz w:val="32"/>
          <w:szCs w:val="32"/>
          <w14:textFill>
            <w14:solidFill>
              <w14:schemeClr w14:val="tx1"/>
            </w14:solidFill>
          </w14:textFill>
        </w:rPr>
        <w:t>以高邮湖重要湿地、饮用水水源一级保护区为核心区，高邮湖、宝应湖沿岸浅水区及淮河入江水道生态湿地为缓冲区，白马湖东部滩涂、柳树湾湿地公园区域为试验区划定</w:t>
      </w:r>
      <w:r>
        <w:rPr>
          <w:rFonts w:ascii="Times New Roman" w:hAnsi="Times New Roman" w:eastAsia="方正仿宋_GBK" w:cs="Times New Roman"/>
          <w:b/>
          <w:bCs/>
          <w:color w:val="000000" w:themeColor="text1"/>
          <w:sz w:val="32"/>
          <w:szCs w:val="32"/>
          <w14:textFill>
            <w14:solidFill>
              <w14:schemeClr w14:val="tx1"/>
            </w14:solidFill>
          </w14:textFill>
        </w:rPr>
        <w:t>环湖生态保护区</w:t>
      </w:r>
      <w:r>
        <w:rPr>
          <w:rFonts w:ascii="Times New Roman" w:hAnsi="Times New Roman" w:eastAsia="方正仿宋_GBK" w:cs="Times New Roman"/>
          <w:color w:val="000000" w:themeColor="text1"/>
          <w:kern w:val="0"/>
          <w:sz w:val="32"/>
          <w:szCs w:val="32"/>
          <w14:textFill>
            <w14:solidFill>
              <w14:schemeClr w14:val="tx1"/>
            </w14:solidFill>
          </w14:textFill>
        </w:rPr>
        <w:t>。以省级金湖经济开发区为产业核心引擎、银涂工业园、黎城大兴工业园区、金南工业集中区、金北航空产业园为产业协同发展区构筑“一心四区”</w:t>
      </w:r>
      <w:r>
        <w:rPr>
          <w:rFonts w:ascii="Times New Roman" w:hAnsi="Times New Roman" w:eastAsia="方正仿宋_GBK" w:cs="Times New Roman"/>
          <w:b/>
          <w:bCs/>
          <w:color w:val="000000" w:themeColor="text1"/>
          <w:sz w:val="32"/>
          <w:szCs w:val="32"/>
          <w14:textFill>
            <w14:solidFill>
              <w14:schemeClr w14:val="tx1"/>
            </w14:solidFill>
          </w14:textFill>
        </w:rPr>
        <w:t>中心产业集聚区</w:t>
      </w:r>
      <w:r>
        <w:rPr>
          <w:rFonts w:ascii="Times New Roman" w:hAnsi="Times New Roman" w:eastAsia="方正仿宋_GBK" w:cs="Times New Roman"/>
          <w:color w:val="000000" w:themeColor="text1"/>
          <w:kern w:val="0"/>
          <w:sz w:val="32"/>
          <w:szCs w:val="32"/>
          <w14:textFill>
            <w14:solidFill>
              <w14:schemeClr w14:val="tx1"/>
            </w14:solidFill>
          </w14:textFill>
        </w:rPr>
        <w:t>。以黎城街道为综合服务核心，整合戴楼街道现代农业示范区、金北街道都市农业片区，联动周边镇的特色田园乡村，构建“主城引领、三街协同、镇村联动”的</w:t>
      </w:r>
      <w:r>
        <w:rPr>
          <w:rFonts w:ascii="Times New Roman" w:hAnsi="Times New Roman" w:eastAsia="方正仿宋_GBK" w:cs="Times New Roman"/>
          <w:b/>
          <w:bCs/>
          <w:color w:val="000000" w:themeColor="text1"/>
          <w:sz w:val="32"/>
          <w:szCs w:val="32"/>
          <w14:textFill>
            <w14:solidFill>
              <w14:schemeClr w14:val="tx1"/>
            </w14:solidFill>
          </w14:textFill>
        </w:rPr>
        <w:t>城郊融合发展区</w:t>
      </w:r>
      <w:r>
        <w:rPr>
          <w:rFonts w:ascii="Times New Roman" w:hAnsi="Times New Roman" w:eastAsia="方正仿宋_GBK" w:cs="Times New Roman"/>
          <w:color w:val="000000" w:themeColor="text1"/>
          <w:kern w:val="0"/>
          <w:sz w:val="32"/>
          <w:szCs w:val="32"/>
          <w14:textFill>
            <w14:solidFill>
              <w14:schemeClr w14:val="tx1"/>
            </w14:solidFill>
          </w14:textFill>
        </w:rPr>
        <w:t>。</w:t>
      </w:r>
    </w:p>
    <w:p w14:paraId="39062863">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四廊贯通。</w:t>
      </w:r>
      <w:r>
        <w:rPr>
          <w:rFonts w:ascii="Times New Roman" w:hAnsi="Times New Roman" w:eastAsia="方正仿宋_GBK" w:cs="Times New Roman"/>
          <w:color w:val="000000" w:themeColor="text1"/>
          <w:kern w:val="0"/>
          <w:sz w:val="32"/>
          <w:szCs w:val="32"/>
          <w14:textFill>
            <w14:solidFill>
              <w14:schemeClr w14:val="tx1"/>
            </w14:solidFill>
          </w14:textFill>
        </w:rPr>
        <w:t>以G344、盐蚌高速为</w:t>
      </w:r>
      <w:r>
        <w:rPr>
          <w:rFonts w:ascii="Times New Roman" w:hAnsi="Times New Roman" w:eastAsia="方正仿宋_GBK" w:cs="Times New Roman"/>
          <w:b/>
          <w:bCs/>
          <w:color w:val="000000" w:themeColor="text1"/>
          <w:sz w:val="32"/>
          <w:szCs w:val="32"/>
          <w14:textFill>
            <w14:solidFill>
              <w14:schemeClr w14:val="tx1"/>
            </w14:solidFill>
          </w14:textFill>
        </w:rPr>
        <w:t>东西向陆上廊道</w:t>
      </w:r>
      <w:r>
        <w:rPr>
          <w:rFonts w:ascii="Times New Roman" w:hAnsi="Times New Roman" w:eastAsia="方正仿宋_GBK" w:cs="Times New Roman"/>
          <w:color w:val="000000" w:themeColor="text1"/>
          <w:kern w:val="0"/>
          <w:sz w:val="32"/>
          <w:szCs w:val="32"/>
          <w14:textFill>
            <w14:solidFill>
              <w14:schemeClr w14:val="tx1"/>
            </w14:solidFill>
          </w14:textFill>
        </w:rPr>
        <w:t>，以金宝航道为</w:t>
      </w:r>
      <w:r>
        <w:rPr>
          <w:rFonts w:ascii="Times New Roman" w:hAnsi="Times New Roman" w:eastAsia="方正仿宋_GBK" w:cs="Times New Roman"/>
          <w:b/>
          <w:bCs/>
          <w:color w:val="000000" w:themeColor="text1"/>
          <w:sz w:val="32"/>
          <w:szCs w:val="32"/>
          <w14:textFill>
            <w14:solidFill>
              <w14:schemeClr w14:val="tx1"/>
            </w14:solidFill>
          </w14:textFill>
        </w:rPr>
        <w:t>东西向水上廊道</w:t>
      </w:r>
      <w:r>
        <w:rPr>
          <w:rFonts w:ascii="Times New Roman" w:hAnsi="Times New Roman" w:eastAsia="方正仿宋_GBK" w:cs="Times New Roman"/>
          <w:color w:val="000000" w:themeColor="text1"/>
          <w:kern w:val="0"/>
          <w:sz w:val="32"/>
          <w:szCs w:val="32"/>
          <w14:textFill>
            <w14:solidFill>
              <w14:schemeClr w14:val="tx1"/>
            </w14:solidFill>
          </w14:textFill>
        </w:rPr>
        <w:t>，持续强化产业发展，建设现代物流与智能制造走廊，打造工业与现代服务业双轮驱动、产城良性互促的工业基地。以S247、金禄高速及关联省道为</w:t>
      </w:r>
      <w:r>
        <w:rPr>
          <w:rFonts w:ascii="Times New Roman" w:hAnsi="Times New Roman" w:eastAsia="方正仿宋_GBK" w:cs="Times New Roman"/>
          <w:b/>
          <w:bCs/>
          <w:color w:val="000000" w:themeColor="text1"/>
          <w:sz w:val="32"/>
          <w:szCs w:val="32"/>
          <w14:textFill>
            <w14:solidFill>
              <w14:schemeClr w14:val="tx1"/>
            </w14:solidFill>
          </w14:textFill>
        </w:rPr>
        <w:t>南北向陆上廊道</w:t>
      </w:r>
      <w:r>
        <w:rPr>
          <w:rFonts w:ascii="Times New Roman" w:hAnsi="Times New Roman" w:eastAsia="方正仿宋_GBK" w:cs="Times New Roman"/>
          <w:b/>
          <w:bCs/>
          <w:color w:val="000000" w:themeColor="text1"/>
          <w:kern w:val="0"/>
          <w:sz w:val="32"/>
          <w:szCs w:val="32"/>
          <w14:textFill>
            <w14:solidFill>
              <w14:schemeClr w14:val="tx1"/>
            </w14:solidFill>
          </w14:textFill>
        </w:rPr>
        <w:t>，</w:t>
      </w:r>
      <w:r>
        <w:rPr>
          <w:rFonts w:ascii="Times New Roman" w:hAnsi="Times New Roman" w:eastAsia="方正仿宋_GBK" w:cs="Times New Roman"/>
          <w:color w:val="000000" w:themeColor="text1"/>
          <w:kern w:val="0"/>
          <w:sz w:val="32"/>
          <w:szCs w:val="32"/>
          <w14:textFill>
            <w14:solidFill>
              <w14:schemeClr w14:val="tx1"/>
            </w14:solidFill>
          </w14:textFill>
        </w:rPr>
        <w:t>以大汕子河、淮河入江水道为</w:t>
      </w:r>
      <w:r>
        <w:rPr>
          <w:rFonts w:ascii="Times New Roman" w:hAnsi="Times New Roman" w:eastAsia="方正仿宋_GBK" w:cs="Times New Roman"/>
          <w:b/>
          <w:bCs/>
          <w:color w:val="000000" w:themeColor="text1"/>
          <w:sz w:val="32"/>
          <w:szCs w:val="32"/>
          <w14:textFill>
            <w14:solidFill>
              <w14:schemeClr w14:val="tx1"/>
            </w14:solidFill>
          </w14:textFill>
        </w:rPr>
        <w:t>南北向水上廊道</w:t>
      </w:r>
      <w:r>
        <w:rPr>
          <w:rFonts w:ascii="Times New Roman" w:hAnsi="Times New Roman" w:eastAsia="方正仿宋_GBK" w:cs="Times New Roman"/>
          <w:b/>
          <w:bCs/>
          <w:color w:val="000000" w:themeColor="text1"/>
          <w:kern w:val="0"/>
          <w:sz w:val="32"/>
          <w:szCs w:val="32"/>
          <w14:textFill>
            <w14:solidFill>
              <w14:schemeClr w14:val="tx1"/>
            </w14:solidFill>
          </w14:textFill>
        </w:rPr>
        <w:t>，</w:t>
      </w:r>
      <w:r>
        <w:rPr>
          <w:rFonts w:ascii="Times New Roman" w:hAnsi="Times New Roman" w:eastAsia="方正仿宋_GBK" w:cs="Times New Roman"/>
          <w:color w:val="000000" w:themeColor="text1"/>
          <w:kern w:val="0"/>
          <w:sz w:val="32"/>
          <w:szCs w:val="32"/>
          <w14:textFill>
            <w14:solidFill>
              <w14:schemeClr w14:val="tx1"/>
            </w14:solidFill>
          </w14:textFill>
        </w:rPr>
        <w:t>推进绿色发展与生态保护并行，建设乡村振兴示范带，打造水乡特色生态画廊。</w:t>
      </w:r>
    </w:p>
    <w:p w14:paraId="3C48206D">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全域美丽。</w:t>
      </w:r>
      <w:r>
        <w:rPr>
          <w:rFonts w:ascii="Times New Roman" w:hAnsi="Times New Roman" w:eastAsia="方正仿宋_GBK" w:cs="Times New Roman"/>
          <w:color w:val="000000" w:themeColor="text1"/>
          <w:kern w:val="0"/>
          <w:sz w:val="32"/>
          <w:szCs w:val="32"/>
          <w14:textFill>
            <w14:solidFill>
              <w14:schemeClr w14:val="tx1"/>
            </w14:solidFill>
          </w14:textFill>
        </w:rPr>
        <w:t>依托骨干河道、湖泊、主干道路，建设生态宜居示范带，聚力打造</w:t>
      </w:r>
      <w:r>
        <w:rPr>
          <w:rFonts w:ascii="Times New Roman" w:hAnsi="Times New Roman" w:eastAsia="方正仿宋_GBK" w:cs="Times New Roman"/>
          <w:b/>
          <w:bCs/>
          <w:color w:val="000000" w:themeColor="text1"/>
          <w:sz w:val="32"/>
          <w:szCs w:val="32"/>
          <w14:textFill>
            <w14:solidFill>
              <w14:schemeClr w14:val="tx1"/>
            </w14:solidFill>
          </w14:textFill>
        </w:rPr>
        <w:t>全域美丽</w:t>
      </w:r>
      <w:r>
        <w:rPr>
          <w:rFonts w:ascii="Times New Roman" w:hAnsi="Times New Roman" w:eastAsia="方正仿宋_GBK" w:cs="Times New Roman"/>
          <w:color w:val="000000" w:themeColor="text1"/>
          <w:kern w:val="0"/>
          <w:sz w:val="32"/>
          <w:szCs w:val="32"/>
          <w14:textFill>
            <w14:solidFill>
              <w14:schemeClr w14:val="tx1"/>
            </w14:solidFill>
          </w14:textFill>
        </w:rPr>
        <w:t>，持续巩固提升国家生态文明建设示范县、国家全域旅游示范区建设成果。</w:t>
      </w:r>
      <w:bookmarkStart w:id="41" w:name="_Toc214978088"/>
      <w:bookmarkStart w:id="42" w:name="_Toc218234863"/>
      <w:bookmarkStart w:id="43" w:name="_Toc213057388"/>
    </w:p>
    <w:p w14:paraId="336BE101">
      <w:pPr>
        <w:rPr>
          <w:rFonts w:ascii="Times New Roman" w:hAnsi="Times New Roman" w:cs="Times New Roman"/>
        </w:rPr>
      </w:pPr>
    </w:p>
    <w:p w14:paraId="3610D3DC">
      <w:pPr>
        <w:rPr>
          <w:rFonts w:ascii="Times New Roman" w:hAnsi="Times New Roman" w:eastAsia="方正小标宋_GBK" w:cs="Times New Roman"/>
          <w:color w:val="000000" w:themeColor="text1"/>
          <w:sz w:val="36"/>
          <w:szCs w:val="36"/>
          <w14:textFill>
            <w14:solidFill>
              <w14:schemeClr w14:val="tx1"/>
            </w14:solidFill>
          </w14:textFill>
        </w:rPr>
      </w:pPr>
      <w:r>
        <w:rPr>
          <w:rFonts w:ascii="Times New Roman" w:hAnsi="Times New Roman" w:eastAsia="方正小标宋_GBK" w:cs="Times New Roman"/>
          <w:color w:val="000000" w:themeColor="text1"/>
          <w:sz w:val="36"/>
          <w:szCs w:val="36"/>
          <w14:textFill>
            <w14:solidFill>
              <w14:schemeClr w14:val="tx1"/>
            </w14:solidFill>
          </w14:textFill>
        </w:rPr>
        <w:br w:type="page"/>
      </w:r>
    </w:p>
    <w:p w14:paraId="3E9C65BB">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bookmarkStart w:id="44" w:name="_Toc218695833"/>
      <w:r>
        <w:rPr>
          <w:rFonts w:ascii="Times New Roman" w:hAnsi="Times New Roman" w:eastAsia="方正小标宋_GBK" w:cs="Times New Roman"/>
          <w:color w:val="000000" w:themeColor="text1"/>
          <w:sz w:val="36"/>
          <w:szCs w:val="36"/>
          <w14:textFill>
            <w14:solidFill>
              <w14:schemeClr w14:val="tx1"/>
            </w14:solidFill>
          </w14:textFill>
        </w:rPr>
        <w:t xml:space="preserve">第二篇  </w:t>
      </w:r>
      <w:bookmarkEnd w:id="41"/>
      <w:r>
        <w:rPr>
          <w:rFonts w:ascii="Times New Roman" w:hAnsi="Times New Roman" w:eastAsia="方正小标宋_GBK" w:cs="Times New Roman"/>
          <w:color w:val="000000" w:themeColor="text1"/>
          <w:sz w:val="36"/>
          <w:szCs w:val="36"/>
          <w14:textFill>
            <w14:solidFill>
              <w14:schemeClr w14:val="tx1"/>
            </w14:solidFill>
          </w14:textFill>
        </w:rPr>
        <w:t>锻强产业实力 科创赋能打造长三角智造金谷</w:t>
      </w:r>
      <w:bookmarkEnd w:id="44"/>
    </w:p>
    <w:p w14:paraId="2D01FFA4">
      <w:pPr>
        <w:spacing w:line="560" w:lineRule="exact"/>
        <w:rPr>
          <w:rFonts w:ascii="Times New Roman" w:hAnsi="Times New Roman" w:cs="Times New Roman"/>
        </w:rPr>
      </w:pPr>
      <w:bookmarkStart w:id="45" w:name="_Toc214978089"/>
      <w:bookmarkStart w:id="46" w:name="_Toc218695834"/>
    </w:p>
    <w:p w14:paraId="10F7835D">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第三章  聚力</w:t>
      </w:r>
      <w:bookmarkEnd w:id="45"/>
      <w:r>
        <w:rPr>
          <w:rFonts w:ascii="Times New Roman" w:hAnsi="Times New Roman" w:eastAsia="方正黑体_GBK" w:cs="Times New Roman"/>
          <w:color w:val="000000" w:themeColor="text1"/>
          <w:kern w:val="0"/>
          <w:sz w:val="32"/>
          <w:szCs w:val="32"/>
          <w14:textFill>
            <w14:solidFill>
              <w14:schemeClr w14:val="tx1"/>
            </w14:solidFill>
          </w14:textFill>
        </w:rPr>
        <w:t>3+X现代化产业体系布局优化</w:t>
      </w:r>
      <w:bookmarkEnd w:id="46"/>
    </w:p>
    <w:p w14:paraId="027744C1">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坚持把发展经济的着力点放在实体经济上，立足金湖进入新型工业化中期的发展要求，把握智能化、绿色化、融合化发展方向，推动高端装备制造、新材料、大健康三大主导产业迭代升级，培育发展战略性新兴产业，抢抓未来产业发展机遇，推进生产性服务业向专业化和价值链高端延伸，形成具有金湖特色的两业融合集聚新格局，打造具有区域竞争力的特色产业集群。</w:t>
      </w:r>
    </w:p>
    <w:p w14:paraId="34955BE8">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47" w:name="_Toc218695835"/>
      <w:r>
        <w:rPr>
          <w:rFonts w:ascii="Times New Roman" w:hAnsi="Times New Roman" w:eastAsia="方正楷体_GBK" w:cs="Times New Roman"/>
          <w:color w:val="000000" w:themeColor="text1"/>
          <w:kern w:val="0"/>
          <w:sz w:val="32"/>
          <w:szCs w:val="32"/>
          <w14:textFill>
            <w14:solidFill>
              <w14:schemeClr w14:val="tx1"/>
            </w14:solidFill>
          </w14:textFill>
        </w:rPr>
        <w:t>第一节  推动三大主导产业迭代升级</w:t>
      </w:r>
      <w:bookmarkEnd w:id="47"/>
    </w:p>
    <w:p w14:paraId="60F3AB2C">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高端装备制造。</w:t>
      </w:r>
      <w:bookmarkStart w:id="48" w:name="OLE_LINK7"/>
      <w:r>
        <w:rPr>
          <w:rFonts w:ascii="Times New Roman" w:hAnsi="Times New Roman" w:eastAsia="方正仿宋_GBK" w:cs="Times New Roman"/>
          <w:color w:val="000000" w:themeColor="text1"/>
          <w:kern w:val="0"/>
          <w:sz w:val="32"/>
          <w:szCs w:val="32"/>
          <w14:textFill>
            <w14:solidFill>
              <w14:schemeClr w14:val="tx1"/>
            </w14:solidFill>
          </w14:textFill>
        </w:rPr>
        <w:t>壮大能源装备产业主赛道</w:t>
      </w:r>
      <w:bookmarkEnd w:id="48"/>
      <w:r>
        <w:rPr>
          <w:rFonts w:ascii="Times New Roman" w:hAnsi="Times New Roman" w:eastAsia="方正仿宋_GBK" w:cs="Times New Roman"/>
          <w:color w:val="000000" w:themeColor="text1"/>
          <w:kern w:val="0"/>
          <w:sz w:val="32"/>
          <w:szCs w:val="32"/>
          <w14:textFill>
            <w14:solidFill>
              <w14:schemeClr w14:val="tx1"/>
            </w14:solidFill>
          </w14:textFill>
        </w:rPr>
        <w:t>，实施产业集群培育升级行动与产创融合深化工程，围绕风电储能、石油装备、煤矿机械、新能源汽车零部件等壮大能源装备产业链条，重点聚焦能源勘探开发装备、能量转换装备、能源存储装备等领域进行布局，支持企业建设智能工厂，推广工业互联网平台深度应用，打通研发设计、生产制造、运维服务全链条数据链路，提升生产效率和产品质量稳定性，聚力推动产业提升、企业提效、工艺提标、产品提档，强化关键技术突破、重大项目集聚与产业链协同耦合，打造特色鲜明、技术高端的“制造+服务+品牌”能源装备制造基地。</w:t>
      </w:r>
      <w:bookmarkStart w:id="49" w:name="OLE_LINK8"/>
      <w:r>
        <w:rPr>
          <w:rFonts w:ascii="Times New Roman" w:hAnsi="Times New Roman" w:eastAsia="方正仿宋_GBK" w:cs="Times New Roman"/>
          <w:color w:val="000000" w:themeColor="text1"/>
          <w:kern w:val="0"/>
          <w:sz w:val="32"/>
          <w:szCs w:val="32"/>
          <w14:textFill>
            <w14:solidFill>
              <w14:schemeClr w14:val="tx1"/>
            </w14:solidFill>
          </w14:textFill>
        </w:rPr>
        <w:t>做精仪表线缆产业赛道</w:t>
      </w:r>
      <w:bookmarkEnd w:id="49"/>
      <w:r>
        <w:rPr>
          <w:rFonts w:ascii="Times New Roman" w:hAnsi="Times New Roman" w:eastAsia="方正仿宋_GBK" w:cs="Times New Roman"/>
          <w:color w:val="000000" w:themeColor="text1"/>
          <w:kern w:val="0"/>
          <w:sz w:val="32"/>
          <w:szCs w:val="32"/>
          <w14:textFill>
            <w14:solidFill>
              <w14:schemeClr w14:val="tx1"/>
            </w14:solidFill>
          </w14:textFill>
        </w:rPr>
        <w:t>，围绕工业软件、智能传感器、物联网、碳测量、新型特种线缆等产业链条，充分发挥仪器仪表国家火炬特色产业基地和省级产业园集聚作用，强化核心基础零部件、先进工艺与关键技术的自主配套能力，依托省计量科学研究院、江苏省物联网装备（热工仪表）计量中心，争创国家热工仪表产业计量测试中心。到2030年，高端装备制造业产值达千亿级，争取</w:t>
      </w:r>
      <w:r>
        <w:rPr>
          <w:rFonts w:ascii="Times New Roman" w:hAnsi="Times New Roman" w:eastAsia="方正仿宋_GBK" w:cs="Times New Roman"/>
          <w:color w:val="000000" w:themeColor="text1"/>
          <w:sz w:val="32"/>
          <w:szCs w:val="32"/>
          <w14:textFill>
            <w14:solidFill>
              <w14:schemeClr w14:val="tx1"/>
            </w14:solidFill>
          </w14:textFill>
        </w:rPr>
        <w:t>创成1个国家级中小产业集群。</w:t>
      </w:r>
      <w:r>
        <w:rPr>
          <w:rFonts w:ascii="Times New Roman" w:hAnsi="Times New Roman" w:eastAsia="方正仿宋_GBK" w:cs="Times New Roman"/>
          <w:color w:val="000000" w:themeColor="text1"/>
          <w:sz w:val="32"/>
          <w:szCs w:val="32"/>
          <w14:textFill>
            <w14:solidFill>
              <w14:schemeClr w14:val="tx1"/>
            </w14:solidFill>
          </w14:textFill>
        </w:rPr>
        <w:tab/>
      </w:r>
    </w:p>
    <w:p w14:paraId="7EFAAA4C">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新材料。</w:t>
      </w:r>
      <w:r>
        <w:rPr>
          <w:rFonts w:ascii="Times New Roman" w:hAnsi="Times New Roman" w:eastAsia="方正仿宋_GBK" w:cs="Times New Roman"/>
          <w:color w:val="000000" w:themeColor="text1"/>
          <w:kern w:val="0"/>
          <w:sz w:val="32"/>
          <w:szCs w:val="32"/>
          <w14:textFill>
            <w14:solidFill>
              <w14:schemeClr w14:val="tx1"/>
            </w14:solidFill>
          </w14:textFill>
        </w:rPr>
        <w:t>壮大绿色循环再生材料产业赛道，重点向下游高价值应用延伸。加强与科研院所合作，突破再生材料高效分选、性能提升等关键技术，提升再生材料附加值，发展“生产—消费—回收—再利用”闭环模式，推动产业链向中高端迈进。做精功能性材料产业赛道，</w:t>
      </w:r>
      <w:r>
        <w:rPr>
          <w:rFonts w:ascii="Times New Roman" w:hAnsi="Times New Roman" w:eastAsia="方正仿宋_GBK" w:cs="Times New Roman"/>
          <w:color w:val="000000" w:themeColor="text1"/>
          <w:sz w:val="32"/>
          <w:szCs w:val="32"/>
          <w14:textFill>
            <w14:solidFill>
              <w14:schemeClr w14:val="tx1"/>
            </w14:solidFill>
          </w14:textFill>
        </w:rPr>
        <w:t>突破膜材料精密制备工艺、高性能膜组件封装、膜污染控制及再生等关键技术，构建覆盖“基础材料—膜制备—组件集成—场景应用”的全产业链生态。</w:t>
      </w:r>
      <w:r>
        <w:rPr>
          <w:rFonts w:ascii="Times New Roman" w:hAnsi="Times New Roman" w:eastAsia="方正仿宋_GBK" w:cs="Times New Roman"/>
          <w:color w:val="000000" w:themeColor="text1"/>
          <w:kern w:val="0"/>
          <w:sz w:val="32"/>
          <w:szCs w:val="32"/>
          <w14:textFill>
            <w14:solidFill>
              <w14:schemeClr w14:val="tx1"/>
            </w14:solidFill>
          </w14:textFill>
        </w:rPr>
        <w:t>突破高分子材料改性技术、复合共混技术、精密注塑与挤出成型工艺等关键环节，推动产品向多功能化、高稳定性、环境友好型方向升级。到2030年，力争新材料产业产值达200亿元。</w:t>
      </w:r>
    </w:p>
    <w:p w14:paraId="7164145A">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大健康。</w:t>
      </w:r>
      <w:r>
        <w:rPr>
          <w:rFonts w:ascii="Times New Roman" w:hAnsi="Times New Roman" w:eastAsia="方正仿宋_GBK" w:cs="Times New Roman"/>
          <w:color w:val="000000" w:themeColor="text1"/>
          <w:kern w:val="0"/>
          <w:sz w:val="32"/>
          <w:szCs w:val="32"/>
          <w14:textFill>
            <w14:solidFill>
              <w14:schemeClr w14:val="tx1"/>
            </w14:solidFill>
          </w14:textFill>
        </w:rPr>
        <w:t>壮大体育健身器材产业赛道，推动体育健身器材产业向智能化、多功能化升级。推动产业与健康服务融合，突破运动数据分析、人机交互、智能材料应用等关键技术，推动数字化、个性化的科学健身服务解决方案落地，建设体育器材智造与运动健康服务融合示范区。做精绿色食品及保健品产业赛道，立足淮安市绿色食品产业集群发展格局，围绕水乡特色农产品，构建涵盖育种育苗、种植养殖、精深加工、仓储运输、销售流通、售后管理等全产业链标准体系，推动绿色食品标准化、品牌化发展。突破活性成分提取、生物发酵及制剂关键技术，推动天然、绿色、安全的保健产品和特医食品开发。到2030年，力争大健康产业产值达200亿元。</w:t>
      </w:r>
    </w:p>
    <w:tbl>
      <w:tblPr>
        <w:tblStyle w:val="3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580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71" w:type="dxa"/>
          </w:tcPr>
          <w:p w14:paraId="276DAC85">
            <w:pPr>
              <w:spacing w:line="587" w:lineRule="exact"/>
              <w:jc w:val="center"/>
              <w:rPr>
                <w:rFonts w:ascii="Times New Roman" w:hAnsi="Times New Roman" w:eastAsia="方正黑体_GBK" w:cs="Times New Roman"/>
                <w:color w:val="000000" w:themeColor="text1"/>
                <w:sz w:val="28"/>
                <w:szCs w:val="28"/>
                <w14:textFill>
                  <w14:solidFill>
                    <w14:schemeClr w14:val="tx1"/>
                  </w14:solidFill>
                </w14:textFill>
              </w:rPr>
            </w:pPr>
            <w:bookmarkStart w:id="50" w:name="_Hlk216962345"/>
            <w:r>
              <w:rPr>
                <w:rFonts w:ascii="Times New Roman" w:hAnsi="Times New Roman" w:eastAsia="方正黑体_GBK" w:cs="Times New Roman"/>
                <w:color w:val="000000" w:themeColor="text1"/>
                <w:sz w:val="28"/>
                <w:szCs w:val="28"/>
                <w14:textFill>
                  <w14:solidFill>
                    <w14:schemeClr w14:val="tx1"/>
                  </w14:solidFill>
                </w14:textFill>
              </w:rPr>
              <w:t>专栏1：“十五五”主导产业发展方向</w:t>
            </w:r>
          </w:p>
        </w:tc>
      </w:tr>
      <w:tr w14:paraId="13EE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9071" w:type="dxa"/>
            <w:vAlign w:val="center"/>
          </w:tcPr>
          <w:p w14:paraId="11372D13">
            <w:pPr>
              <w:adjustRightInd w:val="0"/>
              <w:snapToGrid w:val="0"/>
              <w:spacing w:line="40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高端装备制造：</w:t>
            </w:r>
            <w:r>
              <w:rPr>
                <w:rFonts w:ascii="Times New Roman" w:hAnsi="Times New Roman" w:eastAsia="方正仿宋_GBK" w:cs="Times New Roman"/>
                <w:b/>
                <w:bCs/>
                <w:color w:val="000000" w:themeColor="text1"/>
                <w:sz w:val="28"/>
                <w:szCs w:val="28"/>
                <w14:textFill>
                  <w14:solidFill>
                    <w14:schemeClr w14:val="tx1"/>
                  </w14:solidFill>
                </w14:textFill>
              </w:rPr>
              <w:t>能源装备。</w:t>
            </w:r>
            <w:r>
              <w:rPr>
                <w:rFonts w:ascii="Times New Roman" w:hAnsi="Times New Roman" w:eastAsia="方正仿宋_GBK" w:cs="Times New Roman"/>
                <w:color w:val="000000" w:themeColor="text1"/>
                <w:sz w:val="28"/>
                <w:szCs w:val="28"/>
                <w14:textFill>
                  <w14:solidFill>
                    <w14:schemeClr w14:val="tx1"/>
                  </w14:solidFill>
                </w14:textFill>
              </w:rPr>
              <w:t>能源转换装备推动锻造、轴承、齿轮、密封件等上下游企业集聚，延伸发展风电整机装配、风电叶片、塔筒等配套产业，提升整机制造本地化配套率。能源存储装备加快储能用锂离子电池、固态电池、钠离子电池等技术研发和产业化进程，重点布局储能电池模组、系统集成与智能能源管理，提升系统集成与智能控制水平。能源勘探开发装备包括石油装备和煤矿机械两个行业，加大力度招引钻机系统、三抽设备、井下设备、井控设备、修井设备、检测设施等领域龙头企业，突破多维高精度成像测井系统、低温深井钻机、深井自动化钻机、旋转导向钻井系统等终端装备产品，完善产业链条，重点攻坚招引智能化与无人化采掘装备龙头企业及煤矿智能化系统集成与解决方案提供商。新能源汽车零部件以轻量化零部件、精密结构件、底盘核心部件为主攻方向，做特做精汽车冲压件、焊接件、驱动桥、自动门及控制系统等。</w:t>
            </w:r>
            <w:r>
              <w:rPr>
                <w:rFonts w:ascii="Times New Roman" w:hAnsi="Times New Roman" w:eastAsia="方正仿宋_GBK" w:cs="Times New Roman"/>
                <w:b/>
                <w:bCs/>
                <w:color w:val="000000" w:themeColor="text1"/>
                <w:sz w:val="28"/>
                <w:szCs w:val="28"/>
                <w14:textFill>
                  <w14:solidFill>
                    <w14:schemeClr w14:val="tx1"/>
                  </w14:solidFill>
                </w14:textFill>
              </w:rPr>
              <w:t>仪表线缆。</w:t>
            </w:r>
            <w:r>
              <w:rPr>
                <w:rFonts w:ascii="Times New Roman" w:hAnsi="Times New Roman" w:eastAsia="方正仿宋_GBK" w:cs="Times New Roman"/>
                <w:color w:val="000000" w:themeColor="text1"/>
                <w:sz w:val="28"/>
                <w:szCs w:val="28"/>
                <w14:textFill>
                  <w14:solidFill>
                    <w14:schemeClr w14:val="tx1"/>
                  </w14:solidFill>
                </w14:textFill>
              </w:rPr>
              <w:t>仪器仪表以温度、压力、流量、液位、物位测试等工业自动化仪表为产业特色，积极向工业软件、智能传感器、物联网、碳测量等领域拓展。聚焦国家重大工程及国民经济重点领域的先进测量技术需求，发展引进面向石油石化、电力、冶金等行业的标准校验仪表、显示调节仪表、智能压力/物位/流量/温度仪表、工业自动化网络系统、组网传感器、光谱、质谱、色谱仪器等；引进传感器芯片设计、工业软件研发、精密加工等项目，打造“上游核心部件—中游智能产品—下游系统集成”产业链；突破基础工艺、关键零部件、核心传感器等关键共性技术，加快智能传感、远程测试、在线测量、智能检测、软件可信度评测等技术在仪器仪表产业的应用，推动产业向微型化、芯片化、云化发展。新型特种线缆重点发展伴热线缆、特种光缆、耐高低温防爆线缆等产品，打造“特种线缆+智能仪表”协同配套体系。</w:t>
            </w:r>
          </w:p>
          <w:p w14:paraId="0CC8E2D5">
            <w:pPr>
              <w:adjustRightInd w:val="0"/>
              <w:snapToGrid w:val="0"/>
              <w:spacing w:line="40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新材料：</w:t>
            </w:r>
            <w:r>
              <w:rPr>
                <w:rFonts w:ascii="Times New Roman" w:hAnsi="Times New Roman" w:eastAsia="方正仿宋_GBK" w:cs="Times New Roman"/>
                <w:b/>
                <w:bCs/>
                <w:color w:val="000000" w:themeColor="text1"/>
                <w:sz w:val="28"/>
                <w:szCs w:val="28"/>
                <w14:textFill>
                  <w14:solidFill>
                    <w14:schemeClr w14:val="tx1"/>
                  </w14:solidFill>
                </w14:textFill>
              </w:rPr>
              <w:t>绿色循环再生材料。</w:t>
            </w:r>
            <w:r>
              <w:rPr>
                <w:rFonts w:ascii="Times New Roman" w:hAnsi="Times New Roman" w:eastAsia="方正仿宋_GBK" w:cs="Times New Roman"/>
                <w:color w:val="000000" w:themeColor="text1"/>
                <w:sz w:val="28"/>
                <w:szCs w:val="28"/>
                <w14:textFill>
                  <w14:solidFill>
                    <w14:schemeClr w14:val="tx1"/>
                  </w14:solidFill>
                </w14:textFill>
              </w:rPr>
              <w:t>聚焦铝产业固废绿色高值化循环再生，发展高端铝型材、轻量化合金、高性能PC板材和耐火耐磨材料、高铝水泥等高铝工业原料；聚焦废旧PET塑料和纺织品绿色循环再生，发展再生三维涤纶短纤新材料、石墨烯云绒、石墨烯量子点云绒等；发展生物质纤维回收处理与高分子复合材料；围绕生物基可降解材料适度发展绿色建筑材料。</w:t>
            </w:r>
            <w:r>
              <w:rPr>
                <w:rFonts w:ascii="Times New Roman" w:hAnsi="Times New Roman" w:eastAsia="方正仿宋_GBK" w:cs="Times New Roman"/>
                <w:b/>
                <w:bCs/>
                <w:color w:val="000000" w:themeColor="text1"/>
                <w:sz w:val="28"/>
                <w:szCs w:val="28"/>
                <w14:textFill>
                  <w14:solidFill>
                    <w14:schemeClr w14:val="tx1"/>
                  </w14:solidFill>
                </w14:textFill>
              </w:rPr>
              <w:t>功能性材料。</w:t>
            </w:r>
            <w:r>
              <w:rPr>
                <w:rFonts w:ascii="Times New Roman" w:hAnsi="Times New Roman" w:eastAsia="方正仿宋_GBK" w:cs="Times New Roman"/>
                <w:color w:val="000000" w:themeColor="text1"/>
                <w:sz w:val="28"/>
                <w:szCs w:val="28"/>
                <w14:textFill>
                  <w14:solidFill>
                    <w14:schemeClr w14:val="tx1"/>
                  </w14:solidFill>
                </w14:textFill>
              </w:rPr>
              <w:t>重点发展离子膜、制氢膜、质子交换膜等高端特种膜材料，加快突破膜材料精密制备工艺、高性能膜组件封装、膜污染控制再生及关键技术；发展改性塑料粉末与颗粒、高性能工程塑料、特种橡胶制品等核心产品，延伸发展汽车用改性工程塑料、电子电器封装用精密塑料、防水用功能性橡胶制品等高端产品；聚焦高端功能性视光学材料国产化、高端化、功能化发展。</w:t>
            </w:r>
          </w:p>
          <w:p w14:paraId="11B2D04F">
            <w:pPr>
              <w:adjustRightInd w:val="0"/>
              <w:snapToGrid w:val="0"/>
              <w:spacing w:line="400" w:lineRule="exact"/>
              <w:ind w:firstLine="56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大健康：</w:t>
            </w:r>
            <w:r>
              <w:rPr>
                <w:rFonts w:ascii="Times New Roman" w:hAnsi="Times New Roman" w:eastAsia="方正仿宋_GBK" w:cs="Times New Roman"/>
                <w:b/>
                <w:bCs/>
                <w:color w:val="000000" w:themeColor="text1"/>
                <w:sz w:val="28"/>
                <w:szCs w:val="28"/>
                <w14:textFill>
                  <w14:solidFill>
                    <w14:schemeClr w14:val="tx1"/>
                  </w14:solidFill>
                </w14:textFill>
              </w:rPr>
              <w:t>体育健身器材。</w:t>
            </w:r>
            <w:r>
              <w:rPr>
                <w:rFonts w:ascii="Times New Roman" w:hAnsi="Times New Roman" w:eastAsia="方正仿宋_GBK" w:cs="Times New Roman"/>
                <w:color w:val="000000" w:themeColor="text1"/>
                <w:sz w:val="28"/>
                <w:szCs w:val="28"/>
                <w14:textFill>
                  <w14:solidFill>
                    <w14:schemeClr w14:val="tx1"/>
                  </w14:solidFill>
                </w14:textFill>
              </w:rPr>
              <w:t>发展智能感应蹦床、可调节训练蹦床、竞技级蹦床等高端产品，开发户外帐篷、防雨篷布、便携式露营装备等衍生产品，延伸发展运动防护垫、体操垫等配套器材，发展智能跑步机、数字化力量训练器械等多元化健身器材。</w:t>
            </w:r>
            <w:r>
              <w:rPr>
                <w:rFonts w:ascii="Times New Roman" w:hAnsi="Times New Roman" w:eastAsia="方正仿宋_GBK" w:cs="Times New Roman"/>
                <w:b/>
                <w:bCs/>
                <w:color w:val="000000" w:themeColor="text1"/>
                <w:sz w:val="28"/>
                <w:szCs w:val="28"/>
                <w14:textFill>
                  <w14:solidFill>
                    <w14:schemeClr w14:val="tx1"/>
                  </w14:solidFill>
                </w14:textFill>
              </w:rPr>
              <w:t>绿色食品及保健品。</w:t>
            </w:r>
            <w:r>
              <w:rPr>
                <w:rFonts w:ascii="Times New Roman" w:hAnsi="Times New Roman" w:eastAsia="方正仿宋_GBK" w:cs="Times New Roman"/>
                <w:color w:val="000000" w:themeColor="text1"/>
                <w:sz w:val="28"/>
                <w:szCs w:val="28"/>
                <w14:textFill>
                  <w14:solidFill>
                    <w14:schemeClr w14:val="tx1"/>
                  </w14:solidFill>
                </w14:textFill>
              </w:rPr>
              <w:t>围绕稻米、淡水龙虾、芡实、白马湖银鱼、万亩荷花荡莲藕等水乡特色农产品，推动绿色食品标准化、品牌化发展；发展婴儿营养米粉、多功能米淀粉、大米蛋白、大米膨化食品、麦片等系列化精深加工产品；聚焦心脑血管、免疫力调节等疾病辅助治疗领域，拓展抗衰老、运动营养等功能性生物制品与保健品；发展针对乳糖不耐受人群、术后营养支持等特定需求的特医食品，推动功能性乳品产业化。</w:t>
            </w:r>
          </w:p>
        </w:tc>
      </w:tr>
      <w:bookmarkEnd w:id="50"/>
    </w:tbl>
    <w:p w14:paraId="341DD79A">
      <w:pPr>
        <w:keepNext/>
        <w:widowControl/>
        <w:spacing w:before="156" w:beforeLines="50" w:after="156" w:afterLines="50" w:line="587"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51" w:name="_Toc218695836"/>
      <w:r>
        <w:rPr>
          <w:rFonts w:ascii="Times New Roman" w:hAnsi="Times New Roman" w:eastAsia="方正楷体_GBK" w:cs="Times New Roman"/>
          <w:color w:val="000000" w:themeColor="text1"/>
          <w:kern w:val="0"/>
          <w:sz w:val="32"/>
          <w:szCs w:val="32"/>
          <w14:textFill>
            <w14:solidFill>
              <w14:schemeClr w14:val="tx1"/>
            </w14:solidFill>
          </w14:textFill>
        </w:rPr>
        <w:t>第二节  培育招引战略性新兴产业及未来产业</w:t>
      </w:r>
      <w:bookmarkEnd w:id="51"/>
    </w:p>
    <w:p w14:paraId="77E4FF57">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工业母机及工业机器人。</w:t>
      </w:r>
      <w:r>
        <w:rPr>
          <w:rFonts w:ascii="Times New Roman" w:hAnsi="Times New Roman" w:eastAsia="方正仿宋_GBK" w:cs="Times New Roman"/>
          <w:color w:val="000000" w:themeColor="text1"/>
          <w:kern w:val="0"/>
          <w:sz w:val="32"/>
          <w:szCs w:val="32"/>
          <w14:textFill>
            <w14:solidFill>
              <w14:schemeClr w14:val="tx1"/>
            </w14:solidFill>
          </w14:textFill>
        </w:rPr>
        <w:t>以智能制造为导向，</w:t>
      </w:r>
      <w:r>
        <w:rPr>
          <w:rFonts w:ascii="Times New Roman" w:hAnsi="Times New Roman" w:eastAsia="方正仿宋_GBK" w:cs="Times New Roman"/>
          <w:color w:val="000000" w:themeColor="text1"/>
          <w:sz w:val="32"/>
          <w:szCs w:val="32"/>
          <w14:textFill>
            <w14:solidFill>
              <w14:schemeClr w14:val="tx1"/>
            </w14:solidFill>
          </w14:textFill>
        </w:rPr>
        <w:t>聚焦高效、精密、可靠性和精度保持等性能，</w:t>
      </w:r>
      <w:r>
        <w:rPr>
          <w:rFonts w:ascii="Times New Roman" w:hAnsi="Times New Roman" w:eastAsia="方正仿宋_GBK" w:cs="Times New Roman"/>
          <w:color w:val="000000" w:themeColor="text1"/>
          <w:kern w:val="0"/>
          <w:sz w:val="32"/>
          <w:szCs w:val="32"/>
          <w14:textFill>
            <w14:solidFill>
              <w14:schemeClr w14:val="tx1"/>
            </w14:solidFill>
          </w14:textFill>
        </w:rPr>
        <w:t>推动工业母机与工业机器人产业协同发展。</w:t>
      </w:r>
      <w:r>
        <w:rPr>
          <w:rFonts w:hint="eastAsia" w:ascii="Times New Roman" w:hAnsi="Times New Roman" w:eastAsia="方正仿宋_GBK" w:cs="Times New Roman"/>
          <w:color w:val="000000" w:themeColor="text1"/>
          <w:kern w:val="0"/>
          <w:sz w:val="32"/>
          <w:szCs w:val="32"/>
          <w14:textFill>
            <w14:solidFill>
              <w14:schemeClr w14:val="tx1"/>
            </w14:solidFill>
          </w14:textFill>
        </w:rPr>
        <w:t>推动</w:t>
      </w:r>
      <w:r>
        <w:rPr>
          <w:rFonts w:ascii="Times New Roman" w:hAnsi="Times New Roman" w:eastAsia="方正仿宋_GBK" w:cs="Times New Roman"/>
          <w:color w:val="000000" w:themeColor="text1"/>
          <w:kern w:val="0"/>
          <w:sz w:val="32"/>
          <w:szCs w:val="32"/>
          <w14:textFill>
            <w14:solidFill>
              <w14:schemeClr w14:val="tx1"/>
            </w14:solidFill>
          </w14:textFill>
        </w:rPr>
        <w:t>构建“整机—部件—工艺—系统”的全产业链协同创新体系，推动产业由单机制造向提供综合性解决方案跃升。围绕工业机器人、特种机器人、服务机器人等领域，加快机器人项目引入，推进教育娱乐、医疗康复、养老陪护等特定应用场景的智能服务机器人研发及产业化。</w:t>
      </w:r>
    </w:p>
    <w:p w14:paraId="2724A8FD">
      <w:pPr>
        <w:spacing w:line="560" w:lineRule="exact"/>
        <w:ind w:firstLine="640" w:firstLineChars="200"/>
        <w:rPr>
          <w:rFonts w:ascii="Times New Roman" w:hAnsi="Times New Roman" w:eastAsia="方正仿宋_GBK" w:cs="Times New Roman"/>
          <w:bCs/>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低空经济。</w:t>
      </w:r>
      <w:r>
        <w:rPr>
          <w:rFonts w:ascii="Times New Roman" w:hAnsi="Times New Roman" w:eastAsia="方正仿宋_GBK" w:cs="Times New Roman"/>
          <w:color w:val="000000" w:themeColor="text1"/>
          <w:kern w:val="0"/>
          <w:sz w:val="32"/>
          <w:szCs w:val="32"/>
          <w14:textFill>
            <w14:solidFill>
              <w14:schemeClr w14:val="tx1"/>
            </w14:solidFill>
          </w14:textFill>
        </w:rPr>
        <w:t>依托金湖通用机场，打造低空经济产业园，围绕低空飞行器先进设计制造、能源动力、航电通信、智慧保障等领域开展深化合作，构建“研发—制造—应用”产业链闭环，聚焦低空飞行器整机及关键零部件的研制和规模化应用，引进培育行业领军企业，提升产业链配套能力。</w:t>
      </w:r>
    </w:p>
    <w:p w14:paraId="4473B977">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氢能。</w:t>
      </w:r>
      <w:r>
        <w:rPr>
          <w:rFonts w:ascii="Times New Roman" w:hAnsi="Times New Roman" w:eastAsia="方正仿宋_GBK" w:cs="Times New Roman"/>
          <w:color w:val="000000" w:themeColor="text1"/>
          <w:kern w:val="0"/>
          <w:sz w:val="32"/>
          <w:szCs w:val="32"/>
          <w14:textFill>
            <w14:solidFill>
              <w14:schemeClr w14:val="tx1"/>
            </w14:solidFill>
          </w14:textFill>
        </w:rPr>
        <w:t>依托质子交换膜领先优势，积极拓展制造电解槽及关键零部件，支持发展电解水制氢装置以及分布式制氢与燃料的一体化设计和系统集成，重点突破系统的可靠性和耐久性，降低产业化成本。聚焦燃料电池、储运设备及多元应用等重点环节，引进和培育氢燃料电池电堆、膜电极等关键部件制造企业，加快关键材料、关键零部件及工艺的研发转化。</w:t>
      </w:r>
    </w:p>
    <w:p w14:paraId="4C5F8E45">
      <w:pPr>
        <w:autoSpaceDE w:val="0"/>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生物医药及医疗器械。</w:t>
      </w:r>
      <w:r>
        <w:rPr>
          <w:rFonts w:ascii="Times New Roman" w:hAnsi="Times New Roman" w:eastAsia="方正仿宋_GBK" w:cs="Times New Roman"/>
          <w:color w:val="000000" w:themeColor="text1"/>
          <w:kern w:val="0"/>
          <w:sz w:val="32"/>
          <w:szCs w:val="32"/>
          <w14:textFill>
            <w14:solidFill>
              <w14:schemeClr w14:val="tx1"/>
            </w14:solidFill>
          </w14:textFill>
        </w:rPr>
        <w:t>加快布局强链补链项目，重点发展创新药、生物类似药、现代中药。</w:t>
      </w:r>
      <w:r>
        <w:rPr>
          <w:rFonts w:ascii="Times New Roman" w:hAnsi="Times New Roman" w:eastAsia="方正仿宋_GBK" w:cs="Times New Roman"/>
          <w:color w:val="000000" w:themeColor="text1"/>
          <w:sz w:val="32"/>
          <w:szCs w:val="32"/>
          <w14:textFill>
            <w14:solidFill>
              <w14:schemeClr w14:val="tx1"/>
            </w14:solidFill>
          </w14:textFill>
        </w:rPr>
        <w:t>围绕特色原料药、高端制剂、创新药物等领域，</w:t>
      </w:r>
      <w:r>
        <w:rPr>
          <w:rFonts w:ascii="Times New Roman" w:hAnsi="Times New Roman" w:eastAsia="方正仿宋_GBK" w:cs="Times New Roman"/>
          <w:color w:val="000000" w:themeColor="text1"/>
          <w:kern w:val="0"/>
          <w:sz w:val="32"/>
          <w:szCs w:val="32"/>
          <w14:textFill>
            <w14:solidFill>
              <w14:schemeClr w14:val="tx1"/>
            </w14:solidFill>
          </w14:textFill>
        </w:rPr>
        <w:t>加强关键原料、核心工艺和创新剂型研发，畅通新药研制、临床转化、产业升级链条。瞄准道地药材、创新中药等关键环节，引进龙头企业和产学研合作项目，推动建设从种植、生产到溯源的全流程数字化管理体系。</w:t>
      </w:r>
      <w:r>
        <w:rPr>
          <w:rFonts w:ascii="Times New Roman" w:hAnsi="Times New Roman" w:eastAsia="方正仿宋_GBK" w:cs="Times New Roman"/>
          <w:color w:val="000000" w:themeColor="text1"/>
          <w:sz w:val="32"/>
          <w:szCs w:val="32"/>
          <w14:textFill>
            <w14:solidFill>
              <w14:schemeClr w14:val="tx1"/>
            </w14:solidFill>
          </w14:textFill>
        </w:rPr>
        <w:t>发展小型化医疗器械，突破传感器集成、远程数据交互等关键技术，推动智能化、预防性的健康管理装备研发与产业化。</w:t>
      </w:r>
    </w:p>
    <w:p w14:paraId="17480F74">
      <w:pPr>
        <w:pStyle w:val="29"/>
      </w:pPr>
    </w:p>
    <w:tbl>
      <w:tblPr>
        <w:tblStyle w:val="3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E21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1" w:type="dxa"/>
            <w:vAlign w:val="center"/>
          </w:tcPr>
          <w:p w14:paraId="3B4F594D">
            <w:pPr>
              <w:spacing w:line="560" w:lineRule="exact"/>
              <w:jc w:val="center"/>
              <w:rPr>
                <w:rFonts w:ascii="Times New Roman" w:hAnsi="Times New Roman" w:eastAsia="方正黑体_GBK" w:cs="Times New Roman"/>
                <w:color w:val="000000" w:themeColor="text1"/>
                <w:sz w:val="28"/>
                <w:szCs w:val="28"/>
                <w14:textFill>
                  <w14:solidFill>
                    <w14:schemeClr w14:val="tx1"/>
                  </w14:solidFill>
                </w14:textFill>
              </w:rPr>
            </w:pPr>
            <w:r>
              <w:rPr>
                <w:rFonts w:ascii="Times New Roman" w:hAnsi="Times New Roman" w:eastAsia="方正黑体_GBK" w:cs="Times New Roman"/>
                <w:color w:val="000000" w:themeColor="text1"/>
                <w:sz w:val="28"/>
                <w:szCs w:val="28"/>
                <w14:textFill>
                  <w14:solidFill>
                    <w14:schemeClr w14:val="tx1"/>
                  </w14:solidFill>
                </w14:textFill>
              </w:rPr>
              <w:t>专栏2：“十五五”未来产业发展重点领域</w:t>
            </w:r>
          </w:p>
        </w:tc>
      </w:tr>
      <w:tr w14:paraId="0F49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9071" w:type="dxa"/>
            <w:vAlign w:val="center"/>
          </w:tcPr>
          <w:p w14:paraId="208AA06A">
            <w:pPr>
              <w:adjustRightInd w:val="0"/>
              <w:snapToGrid w:val="0"/>
              <w:spacing w:line="40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工业母机及工业机器人：</w:t>
            </w:r>
            <w:r>
              <w:rPr>
                <w:rFonts w:ascii="Times New Roman" w:hAnsi="Times New Roman" w:eastAsia="方正仿宋_GBK" w:cs="Times New Roman"/>
                <w:color w:val="000000" w:themeColor="text1"/>
                <w:sz w:val="28"/>
                <w:szCs w:val="28"/>
                <w14:textFill>
                  <w14:solidFill>
                    <w14:schemeClr w14:val="tx1"/>
                  </w14:solidFill>
                </w14:textFill>
              </w:rPr>
              <w:t>工业母机包括车床、铣床、刨床、钻床、镗床、磨床、制齿机等机械产品。从加工方式划分，可分为金属切削机床、金属成形机床、增材制造设备及特种加工机床等。工业机器人包括多关节机械手或多自由度的机器装置等。</w:t>
            </w:r>
          </w:p>
          <w:p w14:paraId="0138D0AA">
            <w:pPr>
              <w:adjustRightInd w:val="0"/>
              <w:snapToGrid w:val="0"/>
              <w:spacing w:line="40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低空经济：</w:t>
            </w:r>
            <w:r>
              <w:rPr>
                <w:rFonts w:ascii="Times New Roman" w:hAnsi="Times New Roman" w:eastAsia="方正仿宋_GBK" w:cs="Times New Roman"/>
                <w:color w:val="000000" w:themeColor="text1"/>
                <w:sz w:val="28"/>
                <w:szCs w:val="28"/>
                <w14:textFill>
                  <w14:solidFill>
                    <w14:schemeClr w14:val="tx1"/>
                  </w14:solidFill>
                </w14:textFill>
              </w:rPr>
              <w:t>各类航空器、基础设施及相关配套软硬件，包括智能化绿色化飞行器、动力系统、低空探测、控制、通信、气象及低空起降设施等。</w:t>
            </w:r>
          </w:p>
          <w:p w14:paraId="7BA9A82D">
            <w:pPr>
              <w:adjustRightInd w:val="0"/>
              <w:snapToGrid w:val="0"/>
              <w:spacing w:line="400" w:lineRule="exact"/>
              <w:ind w:firstLine="560" w:firstLineChars="200"/>
              <w:rPr>
                <w:rFonts w:ascii="Times New Roman" w:hAnsi="Times New Roman" w:eastAsia="方正仿宋_GBK" w:cs="Times New Roman"/>
                <w:b/>
                <w:bCs/>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氢能：</w:t>
            </w:r>
            <w:r>
              <w:rPr>
                <w:rFonts w:ascii="Times New Roman" w:hAnsi="Times New Roman" w:eastAsia="方正仿宋_GBK" w:cs="Times New Roman"/>
                <w:color w:val="000000" w:themeColor="text1"/>
                <w:sz w:val="28"/>
                <w:szCs w:val="28"/>
                <w14:textFill>
                  <w14:solidFill>
                    <w14:schemeClr w14:val="tx1"/>
                  </w14:solidFill>
                </w14:textFill>
              </w:rPr>
              <w:t>包括氢能制备、氢能储运、氢能加注、氢能应用装备、检测设备（纯度/泄漏检测仪）、氢能装备用阀门（高压截止阀、安全阀）、控制系统（PLC/DCS系统）等装备。</w:t>
            </w:r>
          </w:p>
          <w:p w14:paraId="36A5BCD0">
            <w:pPr>
              <w:adjustRightInd w:val="0"/>
              <w:snapToGrid w:val="0"/>
              <w:spacing w:line="400" w:lineRule="exact"/>
              <w:ind w:firstLine="56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生物医药及医疗器械：</w:t>
            </w:r>
            <w:r>
              <w:rPr>
                <w:rFonts w:ascii="Times New Roman" w:hAnsi="Times New Roman" w:eastAsia="方正仿宋_GBK" w:cs="Times New Roman"/>
                <w:color w:val="000000" w:themeColor="text1"/>
                <w:sz w:val="28"/>
                <w:szCs w:val="28"/>
                <w14:textFill>
                  <w14:solidFill>
                    <w14:schemeClr w14:val="tx1"/>
                  </w14:solidFill>
                </w14:textFill>
              </w:rPr>
              <w:t>生物药及生物制造包括细胞和基因治疗药物、抗体药物、重组蛋白药物等生物药，生物食品、生物化工等。化学药包括化学原料药及其制剂。中药包括中成药、中药配方颗粒、中药饮片、中药经典名方等。医疗器械包括体外诊断设备、植介入耗材、生命支持设备、诊疗设备等。</w:t>
            </w:r>
          </w:p>
        </w:tc>
      </w:tr>
    </w:tbl>
    <w:p w14:paraId="07C250C1">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52" w:name="_Toc218695837"/>
      <w:r>
        <w:rPr>
          <w:rFonts w:ascii="Times New Roman" w:hAnsi="Times New Roman" w:eastAsia="方正楷体_GBK" w:cs="Times New Roman"/>
          <w:color w:val="000000" w:themeColor="text1"/>
          <w:kern w:val="0"/>
          <w:sz w:val="32"/>
          <w:szCs w:val="32"/>
          <w14:textFill>
            <w14:solidFill>
              <w14:schemeClr w14:val="tx1"/>
            </w14:solidFill>
          </w14:textFill>
        </w:rPr>
        <w:t>第三节  推动生产性服务业高端化发展</w:t>
      </w:r>
      <w:bookmarkEnd w:id="52"/>
    </w:p>
    <w:p w14:paraId="44A0A70C">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商务服务。</w:t>
      </w:r>
      <w:r>
        <w:rPr>
          <w:rFonts w:ascii="Times New Roman" w:hAnsi="Times New Roman" w:eastAsia="方正仿宋_GBK" w:cs="Times New Roman"/>
          <w:color w:val="000000" w:themeColor="text1"/>
          <w:kern w:val="0"/>
          <w:sz w:val="32"/>
          <w:szCs w:val="32"/>
          <w14:textFill>
            <w14:solidFill>
              <w14:schemeClr w14:val="tx1"/>
            </w14:solidFill>
          </w14:textFill>
        </w:rPr>
        <w:t>聚焦企业全生命周期需求，</w:t>
      </w:r>
      <w:r>
        <w:rPr>
          <w:rFonts w:ascii="Times New Roman" w:hAnsi="Times New Roman" w:eastAsia="方正仿宋_GBK" w:cs="Times New Roman"/>
          <w:color w:val="000000" w:themeColor="text1"/>
          <w:sz w:val="32"/>
          <w:szCs w:val="32"/>
          <w14:textFill>
            <w14:solidFill>
              <w14:schemeClr w14:val="tx1"/>
            </w14:solidFill>
          </w14:textFill>
        </w:rPr>
        <w:t>发展集约化现代商务服务集群，</w:t>
      </w:r>
      <w:r>
        <w:rPr>
          <w:rFonts w:ascii="Times New Roman" w:hAnsi="Times New Roman" w:eastAsia="方正仿宋_GBK" w:cs="Times New Roman"/>
          <w:color w:val="000000" w:themeColor="text1"/>
          <w:kern w:val="0"/>
          <w:sz w:val="32"/>
          <w:szCs w:val="32"/>
          <w14:textFill>
            <w14:solidFill>
              <w14:schemeClr w14:val="tx1"/>
            </w14:solidFill>
          </w14:textFill>
        </w:rPr>
        <w:t>在县城区规划“商务服务综合体”，集聚法律咨询、会计审计、人力资源等专业机构，同步引入大宗商品交易、供应链管理等商贸服务机构，推广“法律+金融+商贸”“培训+就业+产业”等融合服务。深化“政银企”协同，支持企业联合银行、担保机构创新“供应链金融”产品。</w:t>
      </w:r>
    </w:p>
    <w:p w14:paraId="62355445">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科技服务。</w:t>
      </w:r>
      <w:r>
        <w:rPr>
          <w:rFonts w:ascii="Times New Roman" w:hAnsi="Times New Roman" w:eastAsia="方正仿宋_GBK" w:cs="Times New Roman"/>
          <w:color w:val="000000" w:themeColor="text1"/>
          <w:kern w:val="0"/>
          <w:sz w:val="32"/>
          <w:szCs w:val="32"/>
          <w14:textFill>
            <w14:solidFill>
              <w14:schemeClr w14:val="tx1"/>
            </w14:solidFill>
          </w14:textFill>
        </w:rPr>
        <w:t>提升科技服务层级，培育研发设计、技术转移、创业孵化、知识产权、科技咨询、科技金融等产业形态。</w:t>
      </w:r>
      <w:r>
        <w:rPr>
          <w:rFonts w:ascii="Times New Roman" w:hAnsi="Times New Roman" w:eastAsia="方正仿宋_GBK" w:cs="Times New Roman"/>
          <w:color w:val="000000" w:themeColor="text1"/>
          <w:sz w:val="32"/>
          <w:szCs w:val="32"/>
          <w14:textFill>
            <w14:solidFill>
              <w14:schemeClr w14:val="tx1"/>
            </w14:solidFill>
          </w14:textFill>
        </w:rPr>
        <w:t>用好“金湖智谷”科创走廊、“双创”孵化基地等平台载体，</w:t>
      </w:r>
      <w:r>
        <w:rPr>
          <w:rFonts w:ascii="Times New Roman" w:hAnsi="Times New Roman" w:eastAsia="方正仿宋_GBK" w:cs="Times New Roman"/>
          <w:color w:val="000000" w:themeColor="text1"/>
          <w:kern w:val="0"/>
          <w:sz w:val="32"/>
          <w:szCs w:val="32"/>
          <w14:textFill>
            <w14:solidFill>
              <w14:schemeClr w14:val="tx1"/>
            </w14:solidFill>
          </w14:textFill>
        </w:rPr>
        <w:t>引进工业设计、检验检测、知识产权服务机构</w:t>
      </w:r>
      <w:r>
        <w:rPr>
          <w:rFonts w:ascii="Times New Roman" w:hAnsi="Times New Roman" w:eastAsia="方正仿宋_GBK" w:cs="Times New Roman"/>
          <w:color w:val="000000" w:themeColor="text1"/>
          <w:sz w:val="32"/>
          <w:szCs w:val="32"/>
          <w14:textFill>
            <w14:solidFill>
              <w14:schemeClr w14:val="tx1"/>
            </w14:solidFill>
          </w14:textFill>
        </w:rPr>
        <w:t>，为企业提供从研发到产业化的全流程服务</w:t>
      </w:r>
      <w:r>
        <w:rPr>
          <w:rFonts w:ascii="Times New Roman" w:hAnsi="Times New Roman" w:eastAsia="方正仿宋_GBK" w:cs="Times New Roman"/>
          <w:color w:val="000000" w:themeColor="text1"/>
          <w:kern w:val="0"/>
          <w:sz w:val="32"/>
          <w:szCs w:val="32"/>
          <w14:textFill>
            <w14:solidFill>
              <w14:schemeClr w14:val="tx1"/>
            </w14:solidFill>
          </w14:textFill>
        </w:rPr>
        <w:t>。</w:t>
      </w:r>
    </w:p>
    <w:p w14:paraId="32EEBDE6">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信息服务。</w:t>
      </w:r>
      <w:r>
        <w:rPr>
          <w:rFonts w:ascii="Times New Roman" w:hAnsi="Times New Roman" w:eastAsia="方正仿宋_GBK" w:cs="Times New Roman"/>
          <w:color w:val="000000" w:themeColor="text1"/>
          <w:kern w:val="0"/>
          <w:sz w:val="32"/>
          <w:szCs w:val="32"/>
          <w14:textFill>
            <w14:solidFill>
              <w14:schemeClr w14:val="tx1"/>
            </w14:solidFill>
          </w14:textFill>
        </w:rPr>
        <w:t>聚焦能源装备、仪表线缆等先进制造业，推进工业互联网、大数据技术深度应用，建设装备制造业数字化转型服务平台，提供生产流程优化、设备远程运维等信息服务，加速产业技术软件化进程。围绕县域算力需求，适度超前规划建设智能算力中心，强化算力供需对接，赋能行业领域，为数据产业高效发展提供底座支撑。在农业领域，建设“智慧农业数字化服务平台”，提供精准种植、产品溯源服务。到2030年，建成1-2个行业级、区域级工业互联网平台，智慧农业覆盖率达到80%。</w:t>
      </w:r>
    </w:p>
    <w:p w14:paraId="0BF7EA70">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现代物流。</w:t>
      </w:r>
      <w:r>
        <w:rPr>
          <w:rFonts w:ascii="Times New Roman" w:hAnsi="Times New Roman" w:eastAsia="方正仿宋_GBK" w:cs="Times New Roman"/>
          <w:color w:val="000000" w:themeColor="text1"/>
          <w:kern w:val="0"/>
          <w:sz w:val="32"/>
          <w:szCs w:val="32"/>
          <w14:textFill>
            <w14:solidFill>
              <w14:schemeClr w14:val="tx1"/>
            </w14:solidFill>
          </w14:textFill>
        </w:rPr>
        <w:t>构建“一核多节点”物流格局，以城东物流园为核心，打造区域性冷链物流基地，对接南京都市圈生鲜供应链，在开发区、银涂镇分别建设工业物流节点、港口物流节点，在吕良镇、前锋镇、塔集镇建设农产品物流节点。</w:t>
      </w:r>
      <w:r>
        <w:rPr>
          <w:rFonts w:ascii="Times New Roman" w:hAnsi="Times New Roman" w:eastAsia="方正仿宋_GBK" w:cs="Times New Roman"/>
          <w:color w:val="000000" w:themeColor="text1"/>
          <w:sz w:val="32"/>
          <w:szCs w:val="32"/>
          <w14:textFill>
            <w14:solidFill>
              <w14:schemeClr w14:val="tx1"/>
            </w14:solidFill>
          </w14:textFill>
        </w:rPr>
        <w:t>推动“物流+商贸+产业”融合创新，在发展“仓配一体化”“即时配送”等模式基础上，联动县域商贸资源，搭建“生产—物流—销售”全链条商贸服务通道</w:t>
      </w:r>
      <w:r>
        <w:rPr>
          <w:rFonts w:ascii="Times New Roman" w:hAnsi="Times New Roman" w:eastAsia="方正仿宋_GBK" w:cs="Times New Roman"/>
          <w:color w:val="000000" w:themeColor="text1"/>
          <w:kern w:val="0"/>
          <w:sz w:val="32"/>
          <w:szCs w:val="32"/>
          <w14:textFill>
            <w14:solidFill>
              <w14:schemeClr w14:val="tx1"/>
            </w14:solidFill>
          </w14:textFill>
        </w:rPr>
        <w:t>。</w:t>
      </w:r>
    </w:p>
    <w:p w14:paraId="40E981E9">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53" w:name="_Toc218695838"/>
      <w:r>
        <w:rPr>
          <w:rFonts w:ascii="Times New Roman" w:hAnsi="Times New Roman" w:eastAsia="方正楷体_GBK" w:cs="Times New Roman"/>
          <w:color w:val="000000" w:themeColor="text1"/>
          <w:kern w:val="0"/>
          <w:sz w:val="32"/>
          <w:szCs w:val="32"/>
          <w14:textFill>
            <w14:solidFill>
              <w14:schemeClr w14:val="tx1"/>
            </w14:solidFill>
          </w14:textFill>
        </w:rPr>
        <w:t>第四节  优化特色产业发展生态</w:t>
      </w:r>
      <w:bookmarkEnd w:id="53"/>
    </w:p>
    <w:p w14:paraId="59299C76">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提升群链协同发展水平。</w:t>
      </w:r>
      <w:r>
        <w:rPr>
          <w:rFonts w:ascii="Times New Roman" w:hAnsi="Times New Roman" w:eastAsia="方正仿宋_GBK" w:cs="Times New Roman"/>
          <w:color w:val="000000" w:themeColor="text1"/>
          <w:kern w:val="0"/>
          <w:sz w:val="32"/>
          <w:szCs w:val="32"/>
          <w14:textFill>
            <w14:solidFill>
              <w14:schemeClr w14:val="tx1"/>
            </w14:solidFill>
          </w14:textFill>
        </w:rPr>
        <w:t>深化“链长制+产业联盟”协同机制，组建</w:t>
      </w:r>
      <w:r>
        <w:rPr>
          <w:rFonts w:ascii="Times New Roman" w:hAnsi="Times New Roman" w:eastAsia="方正仿宋_GBK" w:cs="Times New Roman"/>
          <w:color w:val="000000" w:themeColor="text1"/>
          <w:kern w:val="0"/>
          <w:sz w:val="32"/>
          <w:szCs w:val="32"/>
          <w:shd w:val="clear" w:color="auto" w:fill="FFFFFF"/>
          <w14:textFill>
            <w14:solidFill>
              <w14:schemeClr w14:val="tx1"/>
            </w14:solidFill>
          </w14:textFill>
        </w:rPr>
        <w:t>高端装备制造、</w:t>
      </w:r>
      <w:r>
        <w:rPr>
          <w:rFonts w:ascii="Times New Roman" w:hAnsi="Times New Roman" w:eastAsia="方正仿宋_GBK" w:cs="Times New Roman"/>
          <w:color w:val="000000" w:themeColor="text1"/>
          <w:kern w:val="0"/>
          <w:sz w:val="32"/>
          <w:szCs w:val="32"/>
          <w14:textFill>
            <w14:solidFill>
              <w14:schemeClr w14:val="tx1"/>
            </w14:solidFill>
          </w14:textFill>
        </w:rPr>
        <w:t>新材料、大健康三大产业联盟，推动工业互联网与重点产业链“链网协同”发展。支持重点行业建设“产业大脑”数字化平台，集成产业链图谱、技术路线图、招商地图等功能，实现企业需求与资源要素精准匹配。在协同发展框架下推动传统产业迭代，鼓励联盟内大企业带动中小配套企业开展技术改造和模式创新，提升产业链整体竞争力。以实施重大技术改造升级和大规模设备更新工程为抓手，开展淘汰落后、老旧更新、绿色转型、产品提档、布局优化五大行动，引导企业聚焦新产品、新场景、新市场不断扩大有效投入。</w:t>
      </w:r>
    </w:p>
    <w:p w14:paraId="2C644C63">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创新产业场景应用。</w:t>
      </w:r>
      <w:r>
        <w:rPr>
          <w:rFonts w:ascii="Times New Roman" w:hAnsi="Times New Roman" w:eastAsia="方正仿宋_GBK" w:cs="Times New Roman"/>
          <w:color w:val="000000" w:themeColor="text1"/>
          <w:kern w:val="0"/>
          <w:sz w:val="32"/>
          <w:szCs w:val="32"/>
          <w14:textFill>
            <w14:solidFill>
              <w14:schemeClr w14:val="tx1"/>
            </w14:solidFill>
          </w14:textFill>
        </w:rPr>
        <w:t>实施“场景驱动产业升级”工程，构建多层次、开放式的场景创新体系。在</w:t>
      </w:r>
      <w:r>
        <w:rPr>
          <w:rFonts w:ascii="Times New Roman" w:hAnsi="Times New Roman" w:eastAsia="方正仿宋_GBK" w:cs="Times New Roman"/>
          <w:color w:val="000000" w:themeColor="text1"/>
          <w:kern w:val="0"/>
          <w:sz w:val="32"/>
          <w:szCs w:val="32"/>
          <w:shd w:val="clear" w:color="auto" w:fill="FFFFFF"/>
          <w14:textFill>
            <w14:solidFill>
              <w14:schemeClr w14:val="tx1"/>
            </w14:solidFill>
          </w14:textFill>
        </w:rPr>
        <w:t>高端装备制造</w:t>
      </w:r>
      <w:r>
        <w:rPr>
          <w:rFonts w:ascii="Times New Roman" w:hAnsi="Times New Roman" w:eastAsia="方正仿宋_GBK" w:cs="Times New Roman"/>
          <w:color w:val="000000" w:themeColor="text1"/>
          <w:kern w:val="0"/>
          <w:sz w:val="32"/>
          <w:szCs w:val="32"/>
          <w14:textFill>
            <w14:solidFill>
              <w14:schemeClr w14:val="tx1"/>
            </w14:solidFill>
          </w14:textFill>
        </w:rPr>
        <w:t>领域，支持传统企业与数字企业协同开发智能工厂示范场景，助力传统产业迭代提质。在新材料领域，搭建新材料应用测试平台，支持企业开展纳米新材料、生物基材料等场景验证，为宠物经济等新兴领域提供材料支撑，开发适用于宠物食品包装、宠物用品制造的环保新材料应用场景。在大健康领域，开发“互联网+医疗健康”服务场景，建设区域性健康大数据平台。探索建设未来产业“场景应用实验室”。</w:t>
      </w:r>
    </w:p>
    <w:p w14:paraId="1ED32C90">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促进特色产业和生产性服务业深度融合。</w:t>
      </w:r>
      <w:r>
        <w:rPr>
          <w:rFonts w:ascii="Times New Roman" w:hAnsi="Times New Roman" w:eastAsia="方正仿宋_GBK" w:cs="Times New Roman"/>
          <w:color w:val="000000" w:themeColor="text1"/>
          <w:kern w:val="0"/>
          <w:sz w:val="32"/>
          <w:szCs w:val="32"/>
          <w14:textFill>
            <w14:solidFill>
              <w14:schemeClr w14:val="tx1"/>
            </w14:solidFill>
          </w14:textFill>
        </w:rPr>
        <w:t>推动工业设计、检验检测、供应链管理、科技金融协同发展，探索服务型制造新模式。其中科技金融板块重点强化产投融合，引导金融机构与产业基金联动，为企业融合发展提供多元化资金支持。鼓励制造业企业向研发、个性化定制、全生命周期管理、供应链服务等高附加值环节延伸。</w:t>
      </w:r>
      <w:r>
        <w:rPr>
          <w:rFonts w:ascii="Times New Roman" w:hAnsi="Times New Roman" w:eastAsia="方正仿宋_GBK" w:cs="Times New Roman"/>
          <w:color w:val="000000" w:themeColor="text1"/>
          <w:sz w:val="32"/>
          <w:szCs w:val="32"/>
          <w14:textFill>
            <w14:solidFill>
              <w14:schemeClr w14:val="tx1"/>
            </w14:solidFill>
          </w14:textFill>
        </w:rPr>
        <w:t>深入推进全国质量强县培育建设，依托质量基础设施“一站式”服务平台，提供线上线下一站式服务，深化质量基础设施集成服务、产业链协同创新、标准支撑引领和区域品牌建设，推进质量提升与产业升级协同发展，</w:t>
      </w:r>
      <w:r>
        <w:rPr>
          <w:rFonts w:ascii="Times New Roman" w:hAnsi="Times New Roman" w:eastAsia="方正仿宋_GBK" w:cs="Times New Roman"/>
          <w:color w:val="000000" w:themeColor="text1"/>
          <w:spacing w:val="-2"/>
          <w:sz w:val="32"/>
          <w:szCs w:val="32"/>
          <w14:textFill>
            <w14:solidFill>
              <w14:schemeClr w14:val="tx1"/>
            </w14:solidFill>
          </w14:textFill>
        </w:rPr>
        <w:t>指导帮扶企业新增申报 “江苏精品”认证15家、政府质量奖7家。</w:t>
      </w:r>
      <w:r>
        <w:rPr>
          <w:rFonts w:ascii="Times New Roman" w:hAnsi="Times New Roman" w:eastAsia="方正仿宋_GBK" w:cs="Times New Roman"/>
          <w:color w:val="000000" w:themeColor="text1"/>
          <w:sz w:val="32"/>
          <w:szCs w:val="32"/>
          <w14:textFill>
            <w14:solidFill>
              <w14:schemeClr w14:val="tx1"/>
            </w14:solidFill>
          </w14:textFill>
        </w:rPr>
        <w:t>强化铸锻、精加工、热处理“三大中心”建设运行，推进产业配套中心建设，提升装备供给和数字化水平，增强质量管理和检验检测能力，形成资源共享、互补合力、协同发展的配套产业集群。</w:t>
      </w:r>
      <w:r>
        <w:rPr>
          <w:rFonts w:ascii="Times New Roman" w:hAnsi="Times New Roman" w:eastAsia="方正仿宋_GBK" w:cs="Times New Roman"/>
          <w:color w:val="000000" w:themeColor="text1"/>
          <w:kern w:val="0"/>
          <w:sz w:val="32"/>
          <w:szCs w:val="32"/>
          <w14:textFill>
            <w14:solidFill>
              <w14:schemeClr w14:val="tx1"/>
            </w14:solidFill>
          </w14:textFill>
        </w:rPr>
        <w:t>到2030年，生产性服务业增加值占服务业比重达到45%。</w:t>
      </w:r>
    </w:p>
    <w:p w14:paraId="66CA0C5B">
      <w:pPr>
        <w:pStyle w:val="29"/>
        <w:rPr>
          <w:rFonts w:ascii="Times New Roman" w:hAnsi="Times New Roman" w:cs="Times New Roman"/>
        </w:rPr>
      </w:pPr>
    </w:p>
    <w:bookmarkEnd w:id="42"/>
    <w:bookmarkEnd w:id="43"/>
    <w:p w14:paraId="26614570">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54" w:name="_Toc214978092"/>
      <w:bookmarkStart w:id="55" w:name="_Toc145026495"/>
      <w:bookmarkStart w:id="56" w:name="_Toc213057393"/>
      <w:bookmarkStart w:id="57" w:name="_Toc218695839"/>
      <w:r>
        <w:rPr>
          <w:rFonts w:ascii="Times New Roman" w:hAnsi="Times New Roman" w:eastAsia="方正黑体_GBK" w:cs="Times New Roman"/>
          <w:color w:val="000000" w:themeColor="text1"/>
          <w:kern w:val="0"/>
          <w:sz w:val="32"/>
          <w:szCs w:val="32"/>
          <w14:textFill>
            <w14:solidFill>
              <w14:schemeClr w14:val="tx1"/>
            </w14:solidFill>
          </w14:textFill>
        </w:rPr>
        <w:t xml:space="preserve">第四章 </w:t>
      </w:r>
      <w:bookmarkEnd w:id="54"/>
      <w:bookmarkEnd w:id="55"/>
      <w:bookmarkEnd w:id="56"/>
      <w:r>
        <w:rPr>
          <w:rFonts w:ascii="Times New Roman" w:hAnsi="Times New Roman" w:eastAsia="方正黑体_GBK" w:cs="Times New Roman"/>
          <w:color w:val="000000" w:themeColor="text1"/>
          <w:kern w:val="0"/>
          <w:sz w:val="32"/>
          <w:szCs w:val="32"/>
          <w14:textFill>
            <w14:solidFill>
              <w14:schemeClr w14:val="tx1"/>
            </w14:solidFill>
          </w14:textFill>
        </w:rPr>
        <w:t xml:space="preserve"> 科技创新引领新质生产力发展</w:t>
      </w:r>
      <w:bookmarkEnd w:id="57"/>
    </w:p>
    <w:p w14:paraId="7CB1AB35">
      <w:pPr>
        <w:spacing w:line="56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紧密对接长三角一体化发展、南京都市圈等发展战略，健全“企业主体、市场导向、产创融合”的创新体系，聚焦重点产业关键核心技术攻关，加速科技成果转化与产业化，推动创新链、产业链、资金链、人才链深度融合。到2030年，高新技术产业产值占规上工业产值比重达到46%。</w:t>
      </w:r>
    </w:p>
    <w:p w14:paraId="47020212">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58" w:name="_Toc218695840"/>
      <w:r>
        <w:rPr>
          <w:rFonts w:ascii="Times New Roman" w:hAnsi="Times New Roman" w:eastAsia="方正楷体_GBK" w:cs="Times New Roman"/>
          <w:color w:val="000000" w:themeColor="text1"/>
          <w:kern w:val="0"/>
          <w:sz w:val="32"/>
          <w:szCs w:val="32"/>
          <w14:textFill>
            <w14:solidFill>
              <w14:schemeClr w14:val="tx1"/>
            </w14:solidFill>
          </w14:textFill>
        </w:rPr>
        <w:t xml:space="preserve">第一节  </w:t>
      </w:r>
      <w:bookmarkStart w:id="59" w:name="_Hlk214615651"/>
      <w:r>
        <w:rPr>
          <w:rFonts w:ascii="Times New Roman" w:hAnsi="Times New Roman" w:eastAsia="方正楷体_GBK" w:cs="Times New Roman"/>
          <w:color w:val="000000" w:themeColor="text1"/>
          <w:kern w:val="0"/>
          <w:sz w:val="32"/>
          <w:szCs w:val="32"/>
          <w14:textFill>
            <w14:solidFill>
              <w14:schemeClr w14:val="tx1"/>
            </w14:solidFill>
          </w14:textFill>
        </w:rPr>
        <w:t>强化企业创新主体地位</w:t>
      </w:r>
      <w:bookmarkEnd w:id="58"/>
      <w:bookmarkEnd w:id="59"/>
    </w:p>
    <w:p w14:paraId="33164315">
      <w:pPr>
        <w:widowControl/>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优化创新企业梯度培育体系。</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深化“</w:t>
      </w:r>
      <w:bookmarkStart w:id="60" w:name="OLE_LINK4"/>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科技型中小企业—高新技术企业—专精特新小巨人企业—制造业单项冠军/独角兽企业”梯度培育</w:t>
      </w:r>
      <w:bookmarkEnd w:id="60"/>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模式，聚焦主导产业开展科技型企业引育工作。优化科技企业“进阶制”，完善科技企业全周期培育模式，支持企业申报各级科技品牌，建立规上企业与高企联动机制，以制度刚性保障“规企高新化、高企规模化”落地。完善高企动态培育库，形成“发掘储备—组织申报—认定毕业”的全流程培育链条。</w:t>
      </w:r>
      <w:r>
        <w:rPr>
          <w:rFonts w:ascii="Times New Roman" w:hAnsi="Times New Roman" w:eastAsia="方正仿宋_GBK" w:cs="Times New Roman"/>
          <w:color w:val="000000" w:themeColor="text1"/>
          <w:kern w:val="0"/>
          <w:sz w:val="32"/>
          <w:szCs w:val="32"/>
          <w14:textFill>
            <w14:solidFill>
              <w14:schemeClr w14:val="tx1"/>
            </w14:solidFill>
          </w14:textFill>
        </w:rPr>
        <w:t>实施“专精特新”企业倍增行动，建立“小升规”企业动态培育库，推动中小企业向“隐形冠军”转型。</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到2030年，国家高新技术企业增至380家，创新型领军企业、瞪羚企业、潜在独角兽企业10家以上。</w:t>
      </w:r>
    </w:p>
    <w:p w14:paraId="78184E99">
      <w:pPr>
        <w:widowControl/>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加强关键核心技术攻关。</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支持企业牵头承担重大科技专项、开展技术研发和标准制定，围绕特色优势产业领域，基于企业发展的关键性和共性技术问题，制定发布产业关键技术攻关清单，以“揭榜挂帅”方式推进技术攻关和产业化。</w:t>
      </w:r>
      <w:r>
        <w:rPr>
          <w:rFonts w:ascii="Times New Roman" w:hAnsi="Times New Roman" w:eastAsia="方正仿宋_GBK" w:cs="Times New Roman"/>
          <w:color w:val="000000" w:themeColor="text1"/>
          <w:sz w:val="32"/>
          <w:szCs w:val="32"/>
          <w14:textFill>
            <w14:solidFill>
              <w14:schemeClr w14:val="tx1"/>
            </w14:solidFill>
          </w14:textFill>
        </w:rPr>
        <w:t>主导或参与制修订一批高水平国家标准、行业标准，培育一批具有竞争力的团体标准和企业标准“领跑者”。</w:t>
      </w:r>
    </w:p>
    <w:p w14:paraId="578C38D8">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61" w:name="_Toc218695841"/>
      <w:r>
        <w:rPr>
          <w:rFonts w:ascii="Times New Roman" w:hAnsi="Times New Roman" w:eastAsia="方正楷体_GBK" w:cs="Times New Roman"/>
          <w:color w:val="000000" w:themeColor="text1"/>
          <w:kern w:val="0"/>
          <w:sz w:val="32"/>
          <w:szCs w:val="32"/>
          <w14:textFill>
            <w14:solidFill>
              <w14:schemeClr w14:val="tx1"/>
            </w14:solidFill>
          </w14:textFill>
        </w:rPr>
        <w:t>第二节  推动产业创新和科技创新融合</w:t>
      </w:r>
      <w:bookmarkEnd w:id="61"/>
    </w:p>
    <w:p w14:paraId="396D9AA6">
      <w:pPr>
        <w:spacing w:line="56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提升科技创新平台能级。</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优化创新载体层级布局，拓展并形成“创业苗圃+孵化器+加速器+产业基地”孵化链条。集中资源建设重大平台载体，加快建设以计量仪器测评省重点实验室为代表的科技创新平台，</w:t>
      </w:r>
      <w:r>
        <w:rPr>
          <w:rFonts w:ascii="Times New Roman" w:hAnsi="Times New Roman" w:eastAsia="方正仿宋_GBK" w:cs="Times New Roman"/>
          <w:color w:val="000000" w:themeColor="text1"/>
          <w:sz w:val="32"/>
          <w:szCs w:val="32"/>
          <w14:textFill>
            <w14:solidFill>
              <w14:schemeClr w14:val="tx1"/>
            </w14:solidFill>
          </w14:textFill>
        </w:rPr>
        <w:t>争创国家热工仪表产业计量测试中心。</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通过聚焦主导产业、完善创新生态、集聚高端人才、优化服务机制，全面提升</w:t>
      </w:r>
      <w:r>
        <w:rPr>
          <w:rFonts w:ascii="Times New Roman" w:hAnsi="Times New Roman" w:eastAsia="方正仿宋_GBK" w:cs="Times New Roman"/>
          <w:color w:val="000000" w:themeColor="text1"/>
          <w:sz w:val="32"/>
          <w:szCs w:val="32"/>
          <w14:textFill>
            <w14:solidFill>
              <w14:schemeClr w14:val="tx1"/>
            </w14:solidFill>
          </w14:textFill>
        </w:rPr>
        <w:t>大兴园区“双创”基地、“金湖智谷”科创走廊等科技创新主阵地</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对高科技企业与拔尖人才项目的吸附力和承载力。</w:t>
      </w:r>
      <w:r>
        <w:rPr>
          <w:rFonts w:ascii="Times New Roman" w:hAnsi="Times New Roman" w:eastAsia="方正仿宋_GBK" w:cs="Times New Roman"/>
          <w:color w:val="000000" w:themeColor="text1"/>
          <w:sz w:val="32"/>
          <w:szCs w:val="32"/>
          <w14:textFill>
            <w14:solidFill>
              <w14:schemeClr w14:val="tx1"/>
            </w14:solidFill>
          </w14:textFill>
        </w:rPr>
        <w:t>围绕传统产业升级，建设省级质量检测中心，引进</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高精度检测设备，推动检测服务向研发端延伸。靶向发力推动孵化载体提档升级，持续提升省市级孵化器总量与卓越级载体占比。</w:t>
      </w:r>
    </w:p>
    <w:p w14:paraId="3CD2A686">
      <w:pPr>
        <w:spacing w:line="56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推动产学研融通创新。</w:t>
      </w:r>
      <w:r>
        <w:rPr>
          <w:rFonts w:ascii="Times New Roman" w:hAnsi="Times New Roman" w:eastAsia="方正仿宋_GBK" w:cs="Times New Roman"/>
          <w:color w:val="000000" w:themeColor="text1"/>
          <w:sz w:val="32"/>
          <w:szCs w:val="32"/>
          <w14:textFill>
            <w14:solidFill>
              <w14:schemeClr w14:val="tx1"/>
            </w14:solidFill>
          </w14:textFill>
        </w:rPr>
        <w:t>深入推进科技创新体制改革，深化政产学研</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合作模式，助力企业与高校、科研院所建立起互信互利的信息共享与技术对接渠道。鼓励企业联合高校、科研院所加快创新资源共享和创新联合体建设，着力解决制造业核心部件、制备工艺、工业软件等领域关键技术。推动企业与省市产研院共建企业联合创新中心，支持仪器仪表产业融合创新联合体、功能性填充纤维新材料联合创新中心等争创省市创新联合体。支持科创飞地建设，全面加强与南京、苏州、上海等科技创新资源丰富地区对接，支持企业建设离岸创新中心。到2030年，新增产学研合作项目</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4</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0个以上。</w:t>
      </w:r>
    </w:p>
    <w:p w14:paraId="784B42CF">
      <w:pPr>
        <w:spacing w:line="56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加快科技成果转化应用。</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探索建立知识产权与科技成果转化联动机制，为成果转化提供专利挖掘、风险排查、价值评估等全流程服务，推广“先使用后付费”成果转化模式，提升科技成果转化成功率。支持技术需求对接会、创新挑战赛、成果路演等活动开展，</w:t>
      </w:r>
      <w:r>
        <w:rPr>
          <w:rFonts w:ascii="Times New Roman" w:hAnsi="Times New Roman" w:eastAsia="方正仿宋_GBK" w:cs="Times New Roman"/>
          <w:color w:val="000000" w:themeColor="text1"/>
          <w:sz w:val="32"/>
          <w:szCs w:val="32"/>
          <w14:textFill>
            <w14:solidFill>
              <w14:schemeClr w14:val="tx1"/>
            </w14:solidFill>
          </w14:textFill>
        </w:rPr>
        <w:t>整合对接企业创新需求，强化创新、场景、人才、数据等要素服务支持。</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为科技成果从实验室走向市场提供全流程支持，推动新技术新产品更快进入市场，积极打造“县外研发、金湖制造”的协同创新格局。</w:t>
      </w:r>
    </w:p>
    <w:p w14:paraId="7A4F011F">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62" w:name="_Toc218695842"/>
      <w:r>
        <w:rPr>
          <w:rFonts w:ascii="Times New Roman" w:hAnsi="Times New Roman" w:eastAsia="方正楷体_GBK" w:cs="Times New Roman"/>
          <w:color w:val="000000" w:themeColor="text1"/>
          <w:kern w:val="0"/>
          <w:sz w:val="32"/>
          <w:szCs w:val="32"/>
          <w14:textFill>
            <w14:solidFill>
              <w14:schemeClr w14:val="tx1"/>
            </w14:solidFill>
          </w14:textFill>
        </w:rPr>
        <w:t>第三节  营造良好科技创新生态</w:t>
      </w:r>
      <w:bookmarkEnd w:id="62"/>
    </w:p>
    <w:p w14:paraId="43EB0144">
      <w:pPr>
        <w:spacing w:line="560" w:lineRule="exact"/>
        <w:ind w:firstLine="640" w:firstLineChars="200"/>
        <w:rPr>
          <w:rFonts w:ascii="Times New Roman" w:hAnsi="Times New Roman" w:eastAsia="方正仿宋_GBK" w:cs="Times New Roman"/>
          <w:color w:val="000000" w:themeColor="text1"/>
          <w:spacing w:val="-9"/>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加大科技多元化投入</w:t>
      </w:r>
      <w:r>
        <w:rPr>
          <w:rFonts w:ascii="Times New Roman" w:hAnsi="Times New Roman" w:eastAsia="方正楷体_GBK" w:cs="Times New Roman"/>
          <w:color w:val="000000" w:themeColor="text1"/>
          <w:kern w:val="0"/>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逐步完善以企业为主体的创新投入制度，鼓励社会资本投入创新研发，形成政府引导、企业为主、社会参与的多元化投入体系。强化政策配套衔接和财政资金精准配置，全面落实高企所得税减免、研发费用加计扣除等惠企政策，确保政策红利直达快享。</w:t>
      </w:r>
      <w:r>
        <w:rPr>
          <w:rFonts w:ascii="Times New Roman" w:hAnsi="Times New Roman" w:eastAsia="方正仿宋_GBK" w:cs="Times New Roman"/>
          <w:color w:val="000000" w:themeColor="text1"/>
          <w:sz w:val="32"/>
          <w:szCs w:val="40"/>
          <w14:textFill>
            <w14:solidFill>
              <w14:schemeClr w14:val="tx1"/>
            </w14:solidFill>
          </w14:textFill>
        </w:rPr>
        <w:t>到</w:t>
      </w:r>
      <w:r>
        <w:rPr>
          <w:rFonts w:ascii="Times New Roman" w:hAnsi="Times New Roman" w:eastAsia="方正仿宋_GBK" w:cs="Times New Roman"/>
          <w:color w:val="000000" w:themeColor="text1"/>
          <w:spacing w:val="-9"/>
          <w:sz w:val="32"/>
          <w:szCs w:val="32"/>
          <w14:textFill>
            <w14:solidFill>
              <w14:schemeClr w14:val="tx1"/>
            </w14:solidFill>
          </w14:textFill>
        </w:rPr>
        <w:t>2030年</w:t>
      </w:r>
      <w:r>
        <w:rPr>
          <w:rFonts w:ascii="Times New Roman" w:hAnsi="Times New Roman" w:eastAsia="方正仿宋_GBK" w:cs="Times New Roman"/>
          <w:color w:val="000000" w:themeColor="text1"/>
          <w:sz w:val="32"/>
          <w:szCs w:val="40"/>
          <w14:textFill>
            <w14:solidFill>
              <w14:schemeClr w14:val="tx1"/>
            </w14:solidFill>
          </w14:textFill>
        </w:rPr>
        <w:t>，</w:t>
      </w:r>
      <w:r>
        <w:rPr>
          <w:rFonts w:ascii="Times New Roman" w:hAnsi="Times New Roman" w:eastAsia="方正仿宋_GBK" w:cs="Times New Roman"/>
          <w:color w:val="000000" w:themeColor="text1"/>
          <w:spacing w:val="-9"/>
          <w:sz w:val="32"/>
          <w:szCs w:val="32"/>
          <w14:textFill>
            <w14:solidFill>
              <w14:schemeClr w14:val="tx1"/>
            </w14:solidFill>
          </w14:textFill>
        </w:rPr>
        <w:t>规上企业研发经费投入年均增长20%。</w:t>
      </w:r>
    </w:p>
    <w:p w14:paraId="299C630C">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加强科技金融支撑</w:t>
      </w:r>
      <w:r>
        <w:rPr>
          <w:rFonts w:ascii="Times New Roman" w:hAnsi="Times New Roman" w:eastAsia="方正楷体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完善科技金融服务机制，持续宣传落实“苏科贷”政策，引导金融机构加大对科技企业信贷支持。</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强化科技型企业全生命周期金融服务，推动开展知识产权金融生态试点、AIC股权投资、产业链金融等创新产品</w:t>
      </w:r>
      <w:r>
        <w:rPr>
          <w:rFonts w:ascii="Times New Roman" w:hAnsi="Times New Roman" w:eastAsia="方正仿宋_GBK" w:cs="Times New Roman"/>
          <w:color w:val="000000" w:themeColor="text1"/>
          <w:sz w:val="32"/>
          <w:szCs w:val="32"/>
          <w14:textFill>
            <w14:solidFill>
              <w14:schemeClr w14:val="tx1"/>
            </w14:solidFill>
          </w14:textFill>
        </w:rPr>
        <w:t>，为企业开展新技术研发提供金融保障</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发展天使投资、创业投资、股权投资，支持“耐心资本”投向种子期、初创期科技企业，完善覆盖企业初创、成长、成熟全生命周期的金融服务系统。</w:t>
      </w:r>
    </w:p>
    <w:p w14:paraId="6F9098ED">
      <w:pPr>
        <w:spacing w:line="560" w:lineRule="exact"/>
        <w:ind w:firstLine="640" w:firstLineChars="200"/>
        <w:rPr>
          <w:rFonts w:ascii="Times New Roman" w:hAnsi="Times New Roman" w:eastAsia="方正仿宋_GBK" w:cs="Times New Roman"/>
          <w:snapToGrid w:val="0"/>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强化知识产权创造和保护。</w:t>
      </w:r>
      <w:r>
        <w:rPr>
          <w:rFonts w:ascii="Times New Roman" w:hAnsi="Times New Roman" w:eastAsia="方正仿宋_GBK" w:cs="Times New Roman"/>
          <w:color w:val="000000" w:themeColor="text1"/>
          <w:sz w:val="32"/>
          <w:szCs w:val="32"/>
          <w14:textFill>
            <w14:solidFill>
              <w14:schemeClr w14:val="tx1"/>
            </w14:solidFill>
          </w14:textFill>
        </w:rPr>
        <w:t>深化国家</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知识产权强县建设试点县建设，引导企业</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以</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特色产业发展需求为核心开展研发与专利布局。鼓励科技型企业开展专利导航，精准布局核心技术专利。</w:t>
      </w:r>
      <w:r>
        <w:rPr>
          <w:rFonts w:ascii="Times New Roman" w:hAnsi="Times New Roman" w:eastAsia="方正仿宋_GBK" w:cs="Times New Roman"/>
          <w:snapToGrid w:val="0"/>
          <w:color w:val="000000" w:themeColor="text1"/>
          <w:kern w:val="0"/>
          <w:sz w:val="32"/>
          <w:szCs w:val="32"/>
          <w14:textFill>
            <w14:solidFill>
              <w14:schemeClr w14:val="tx1"/>
            </w14:solidFill>
          </w14:textFill>
        </w:rPr>
        <w:t>鼓励企业参与知识产权联盟建设，围绕主导产业构建专利池，推动知识产权协同运用。</w:t>
      </w:r>
      <w:r>
        <w:rPr>
          <w:rFonts w:ascii="Times New Roman" w:hAnsi="Times New Roman" w:eastAsia="方正仿宋_GBK" w:cs="Times New Roman"/>
          <w:color w:val="000000" w:themeColor="text1"/>
          <w:sz w:val="32"/>
          <w:szCs w:val="32"/>
          <w14:textFill>
            <w14:solidFill>
              <w14:schemeClr w14:val="tx1"/>
            </w14:solidFill>
          </w14:textFill>
        </w:rPr>
        <w:t>健全知识产权公共服务与金融支撑体系，高效运行县级知识产权公共服务中心，为创新主体提供“一站式”服务。</w:t>
      </w:r>
      <w:r>
        <w:rPr>
          <w:rFonts w:ascii="Times New Roman" w:hAnsi="Times New Roman" w:eastAsia="方正仿宋_GBK" w:cs="Times New Roman"/>
          <w:snapToGrid w:val="0"/>
          <w:color w:val="000000" w:themeColor="text1"/>
          <w:kern w:val="0"/>
          <w:sz w:val="32"/>
          <w:szCs w:val="32"/>
          <w14:textFill>
            <w14:solidFill>
              <w14:schemeClr w14:val="tx1"/>
            </w14:solidFill>
          </w14:textFill>
        </w:rPr>
        <w:t>到2030年，有效发明专利总量达1500件左右，每万人口高价值发明专利拥有量达到</w:t>
      </w:r>
      <w:r>
        <w:rPr>
          <w:rFonts w:hint="eastAsia" w:ascii="Times New Roman" w:hAnsi="Times New Roman" w:eastAsia="方正仿宋_GBK" w:cs="Times New Roman"/>
          <w:snapToGrid w:val="0"/>
          <w:color w:val="000000" w:themeColor="text1"/>
          <w:kern w:val="0"/>
          <w:sz w:val="32"/>
          <w:szCs w:val="32"/>
          <w14:textFill>
            <w14:solidFill>
              <w14:schemeClr w14:val="tx1"/>
            </w14:solidFill>
          </w14:textFill>
        </w:rPr>
        <w:t>40</w:t>
      </w:r>
      <w:r>
        <w:rPr>
          <w:rFonts w:ascii="Times New Roman" w:hAnsi="Times New Roman" w:eastAsia="方正仿宋_GBK" w:cs="Times New Roman"/>
          <w:snapToGrid w:val="0"/>
          <w:color w:val="000000" w:themeColor="text1"/>
          <w:kern w:val="0"/>
          <w:sz w:val="32"/>
          <w:szCs w:val="32"/>
          <w14:textFill>
            <w14:solidFill>
              <w14:schemeClr w14:val="tx1"/>
            </w14:solidFill>
          </w14:textFill>
        </w:rPr>
        <w:t>件。</w:t>
      </w:r>
    </w:p>
    <w:p w14:paraId="1947A693">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63" w:name="_Toc66362120"/>
      <w:bookmarkStart w:id="64" w:name="_Toc213057394"/>
      <w:bookmarkStart w:id="65" w:name="_Toc214978093"/>
      <w:bookmarkStart w:id="66" w:name="_Toc218695843"/>
      <w:r>
        <w:rPr>
          <w:rFonts w:ascii="Times New Roman" w:hAnsi="Times New Roman" w:eastAsia="方正楷体_GBK" w:cs="Times New Roman"/>
          <w:color w:val="000000" w:themeColor="text1"/>
          <w:kern w:val="0"/>
          <w:sz w:val="32"/>
          <w:szCs w:val="32"/>
          <w14:textFill>
            <w14:solidFill>
              <w14:schemeClr w14:val="tx1"/>
            </w14:solidFill>
          </w14:textFill>
        </w:rPr>
        <w:t xml:space="preserve">第四节 </w:t>
      </w:r>
      <w:bookmarkEnd w:id="63"/>
      <w:bookmarkEnd w:id="64"/>
      <w:bookmarkEnd w:id="65"/>
      <w:r>
        <w:rPr>
          <w:rFonts w:ascii="Times New Roman" w:hAnsi="Times New Roman" w:eastAsia="方正楷体_GBK" w:cs="Times New Roman"/>
          <w:color w:val="000000" w:themeColor="text1"/>
          <w:kern w:val="0"/>
          <w:sz w:val="32"/>
          <w:szCs w:val="32"/>
          <w14:textFill>
            <w14:solidFill>
              <w14:schemeClr w14:val="tx1"/>
            </w14:solidFill>
          </w14:textFill>
        </w:rPr>
        <w:t xml:space="preserve"> 打造产业人才集聚高地</w:t>
      </w:r>
      <w:bookmarkEnd w:id="66"/>
    </w:p>
    <w:p w14:paraId="6CCE0D39">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构建多元引才体系。</w:t>
      </w:r>
      <w:r>
        <w:rPr>
          <w:rFonts w:ascii="Times New Roman" w:hAnsi="Times New Roman" w:eastAsia="方正仿宋_GBK" w:cs="Times New Roman"/>
          <w:color w:val="000000" w:themeColor="text1"/>
          <w:sz w:val="32"/>
          <w:szCs w:val="32"/>
          <w14:textFill>
            <w14:solidFill>
              <w14:schemeClr w14:val="tx1"/>
            </w14:solidFill>
          </w14:textFill>
        </w:rPr>
        <w:t>探索“科技政策激励、品牌活动招揽、产业发展集聚”多路径融合引才方式。</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设立驻外人才科技工作站，举办“双招双引”推介会、人才科技政策宣讲等活动，积极与省内外优质人力资源服务机构、平台方合作，加速高层次人才集聚步伐。</w:t>
      </w:r>
      <w:r>
        <w:rPr>
          <w:rFonts w:ascii="Times New Roman" w:hAnsi="Times New Roman" w:eastAsia="方正仿宋_GBK" w:cs="Times New Roman"/>
          <w:color w:val="000000" w:themeColor="text1"/>
          <w:sz w:val="32"/>
          <w:szCs w:val="32"/>
          <w14:textFill>
            <w14:solidFill>
              <w14:schemeClr w14:val="tx1"/>
            </w14:solidFill>
          </w14:textFill>
        </w:rPr>
        <w:t>支持企业实施“技能人才薪酬倍增计划”，建立反向“人才飞地”，大力集聚“候鸟型人才”“周末工程师”“银发人才”。发挥好科技镇长团科技创新、产才融合“催化剂”和“助燃剂”作用，依托省“双创计划”、省科技副</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总项目政策、市“淮上英才</w:t>
      </w:r>
      <w:r>
        <w:rPr>
          <w:rFonts w:ascii="Times New Roman" w:hAnsi="Times New Roman" w:eastAsia="方正仿宋_GBK" w:cs="Times New Roman"/>
          <w:color w:val="000000" w:themeColor="text1"/>
          <w:sz w:val="32"/>
          <w:szCs w:val="32"/>
          <w14:textFill>
            <w14:solidFill>
              <w14:schemeClr w14:val="tx1"/>
            </w14:solidFill>
          </w14:textFill>
        </w:rPr>
        <w:t>计划”及高端人才精英赛金湖专场，靶向招引前沿领域尖端科技人才。到2030年，力争获批各级科技人才项目40个、省科技副总</w:t>
      </w:r>
      <w:r>
        <w:rPr>
          <w:rFonts w:hint="eastAsia" w:ascii="Times New Roman" w:hAnsi="Times New Roman" w:eastAsia="方正仿宋_GBK" w:cs="Times New Roman"/>
          <w:color w:val="000000" w:themeColor="text1"/>
          <w:sz w:val="32"/>
          <w:szCs w:val="32"/>
          <w14:textFill>
            <w14:solidFill>
              <w14:schemeClr w14:val="tx1"/>
            </w14:solidFill>
          </w14:textFill>
        </w:rPr>
        <w:t>6</w:t>
      </w:r>
      <w:r>
        <w:rPr>
          <w:rFonts w:ascii="Times New Roman" w:hAnsi="Times New Roman" w:eastAsia="方正仿宋_GBK" w:cs="Times New Roman"/>
          <w:color w:val="000000" w:themeColor="text1"/>
          <w:sz w:val="32"/>
          <w:szCs w:val="32"/>
          <w14:textFill>
            <w14:solidFill>
              <w14:schemeClr w14:val="tx1"/>
            </w14:solidFill>
          </w14:textFill>
        </w:rPr>
        <w:t>0名。</w:t>
      </w:r>
    </w:p>
    <w:p w14:paraId="37DE29E9">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深化产教融合培育。</w:t>
      </w:r>
      <w:r>
        <w:rPr>
          <w:rFonts w:ascii="Times New Roman" w:hAnsi="Times New Roman" w:eastAsia="方正仿宋_GBK" w:cs="Times New Roman"/>
          <w:color w:val="000000" w:themeColor="text1"/>
          <w:sz w:val="32"/>
          <w:szCs w:val="32"/>
          <w14:textFill>
            <w14:solidFill>
              <w14:schemeClr w14:val="tx1"/>
            </w14:solidFill>
          </w14:textFill>
        </w:rPr>
        <w:t>高水平建设金湖技工学校，争取设立淮安技师学院金湖分校，深化产业工人队伍建设改革，</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构建以企业为主体、职业学校为基础，政府推动、社会支持、工会参与的技能人才培养系统，培养一批实用型技术能手。依托金湖中专等学校，通过企校合作、工学交替方式，以产业为导向，实施劳动力技能培训提升工程。以就业技能培训、岗位提升培训和创业培训为主要形式，建立健全“互联网+监管”模式，实现对政府补贴性职业技能培训和评价活动的全程监管。到2030年，累计新增技能人才1.2万人以上。</w:t>
      </w:r>
    </w:p>
    <w:p w14:paraId="60FAA031">
      <w:pPr>
        <w:spacing w:line="56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加强青年人才培养。</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充分发挥“银发人才”优势，创新“老中青”三代结合的人才培育模式，广泛吸纳退休专家、资深教授、行业人才等组建“智囊团”，积极培育青年创业典型作为“生力军”。开展校企双向赋能，鼓励企业高层次人才和高校教师双向兼职，交叉培养青年人才。举办职工职业技能竞赛，开设技能夜校、青年夜校等，提升人才能力素养。支持名校优生服务基层，有效缩短“成长周期”。</w:t>
      </w:r>
    </w:p>
    <w:p w14:paraId="09E05BC2">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完善人才服务保障体系。</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迭代升级“荷都俊才计划”，建强人才服务专员队伍，为高层次人才提供全周期服务。</w:t>
      </w:r>
      <w:r>
        <w:rPr>
          <w:rFonts w:ascii="Times New Roman" w:hAnsi="Times New Roman" w:eastAsia="方正仿宋_GBK" w:cs="Times New Roman"/>
          <w:color w:val="000000" w:themeColor="text1"/>
          <w:sz w:val="32"/>
          <w:szCs w:val="32"/>
          <w14:textFill>
            <w14:solidFill>
              <w14:schemeClr w14:val="tx1"/>
            </w14:solidFill>
          </w14:textFill>
        </w:rPr>
        <w:t>优化“金湖智谷”人才承接能力，提供免租金、“一站式”服务等支持举措。提升“金青驿站”服务水平，新增人才驿站站点，为外地来金青年人才提供短期免费住宿服务。</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落实人才购房补贴、生活补贴等政策，推行市级资金“即申即享”、县级资金“免申即享”模式。强化日常走访、节日慰问，举办联谊交流活动，提升人才归属感，吸引人才扎根金湖。</w:t>
      </w:r>
    </w:p>
    <w:p w14:paraId="7F2CE0CA">
      <w:pPr>
        <w:rPr>
          <w:rFonts w:ascii="Times New Roman" w:hAnsi="Times New Roman" w:eastAsia="方正小标宋_GBK" w:cs="Times New Roman"/>
          <w:color w:val="000000" w:themeColor="text1"/>
          <w:sz w:val="36"/>
          <w:szCs w:val="36"/>
          <w14:textFill>
            <w14:solidFill>
              <w14:schemeClr w14:val="tx1"/>
            </w14:solidFill>
          </w14:textFill>
        </w:rPr>
      </w:pPr>
      <w:bookmarkStart w:id="67" w:name="_Toc214978094"/>
      <w:bookmarkStart w:id="68" w:name="_Toc804138047"/>
      <w:bookmarkStart w:id="69" w:name="_Toc213057395"/>
      <w:r>
        <w:rPr>
          <w:rFonts w:ascii="Times New Roman" w:hAnsi="Times New Roman" w:eastAsia="方正小标宋_GBK" w:cs="Times New Roman"/>
          <w:color w:val="000000" w:themeColor="text1"/>
          <w:sz w:val="36"/>
          <w:szCs w:val="36"/>
          <w14:textFill>
            <w14:solidFill>
              <w14:schemeClr w14:val="tx1"/>
            </w14:solidFill>
          </w14:textFill>
        </w:rPr>
        <w:br w:type="page"/>
      </w:r>
    </w:p>
    <w:p w14:paraId="77B891E0">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bookmarkStart w:id="70" w:name="_Toc218695844"/>
      <w:r>
        <w:rPr>
          <w:rFonts w:ascii="Times New Roman" w:hAnsi="Times New Roman" w:eastAsia="方正小标宋_GBK" w:cs="Times New Roman"/>
          <w:color w:val="000000" w:themeColor="text1"/>
          <w:sz w:val="36"/>
          <w:szCs w:val="36"/>
          <w14:textFill>
            <w14:solidFill>
              <w14:schemeClr w14:val="tx1"/>
            </w14:solidFill>
          </w14:textFill>
        </w:rPr>
        <w:t xml:space="preserve">第三篇  </w:t>
      </w:r>
      <w:bookmarkEnd w:id="67"/>
      <w:bookmarkEnd w:id="68"/>
      <w:bookmarkEnd w:id="69"/>
      <w:r>
        <w:rPr>
          <w:rFonts w:ascii="Times New Roman" w:hAnsi="Times New Roman" w:eastAsia="方正小标宋_GBK" w:cs="Times New Roman"/>
          <w:color w:val="000000" w:themeColor="text1"/>
          <w:sz w:val="36"/>
          <w:szCs w:val="36"/>
          <w14:textFill>
            <w14:solidFill>
              <w14:schemeClr w14:val="tx1"/>
            </w14:solidFill>
          </w14:textFill>
        </w:rPr>
        <w:t>激发内需潜能 供需互促构筑高水平投资高地</w:t>
      </w:r>
      <w:bookmarkEnd w:id="70"/>
    </w:p>
    <w:p w14:paraId="2C20A275">
      <w:pPr>
        <w:pStyle w:val="29"/>
        <w:spacing w:after="0" w:line="560" w:lineRule="exact"/>
        <w:rPr>
          <w:rFonts w:ascii="Times New Roman" w:hAnsi="Times New Roman" w:cs="Times New Roman"/>
        </w:rPr>
      </w:pPr>
      <w:bookmarkStart w:id="71" w:name="_Toc218695845"/>
      <w:bookmarkStart w:id="72" w:name="_Toc213057396"/>
      <w:bookmarkStart w:id="73" w:name="_Toc1033565358"/>
      <w:bookmarkStart w:id="74" w:name="_Toc214978095"/>
    </w:p>
    <w:p w14:paraId="7EC13F2C">
      <w:pPr>
        <w:keepNext/>
        <w:spacing w:line="560" w:lineRule="exact"/>
        <w:ind w:firstLine="640" w:firstLineChars="200"/>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第五章  合力攻坚扩大有效投资</w:t>
      </w:r>
      <w:bookmarkEnd w:id="71"/>
    </w:p>
    <w:p w14:paraId="56A1847A">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积极扩大有效投资规模，着力优化投资结构，构建与高质量发展相匹配的投资增长模式。实施投资与消费双轮驱动，拉动有效需求，改善供给质量，促进投资效益逐步显现，以高质量项目带动高质量发展。</w:t>
      </w:r>
    </w:p>
    <w:p w14:paraId="0D642227">
      <w:pPr>
        <w:keepNext/>
        <w:widowControl/>
        <w:spacing w:before="156" w:beforeLines="50" w:after="156" w:afterLines="50" w:line="560" w:lineRule="exact"/>
        <w:ind w:firstLine="640" w:firstLineChars="200"/>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75" w:name="_Toc218695846"/>
      <w:r>
        <w:rPr>
          <w:rFonts w:ascii="Times New Roman" w:hAnsi="Times New Roman" w:eastAsia="方正楷体_GBK" w:cs="Times New Roman"/>
          <w:color w:val="000000" w:themeColor="text1"/>
          <w:kern w:val="0"/>
          <w:sz w:val="32"/>
          <w:szCs w:val="32"/>
          <w14:textFill>
            <w14:solidFill>
              <w14:schemeClr w14:val="tx1"/>
            </w14:solidFill>
          </w14:textFill>
        </w:rPr>
        <w:t>第一节  着力推进招商选资</w:t>
      </w:r>
      <w:bookmarkEnd w:id="75"/>
    </w:p>
    <w:p w14:paraId="557EDFE0">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加强项目招引储备。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强化招商“专业化”，突出开发区、镇街自主招商主渠道，整合驻点、部门等多资源，拓展商会、院所等社会信息源，加强招商队伍专业化培训与实战练兵，打造懂产业、通政策、善谈判的精锐力量，持续引进投资体量大、产业带动强、经济效益好的重大项目。强化招商“产业化”，深化产业链精准招商，系统推进“延链补链强链”，通过专业园区载体和龙头带动，吸引配套企业集聚，形成规模效应，打响产业集群“金湖品牌”。强化招商“场景化”，推动招商从“给优惠”向“给场景”升级，加快工业制造、产业配套等领域场景开发。力争每年新签约亿元以上项目120个，其中10亿元以上10个，30亿元以上5个，协议引资额超过450亿元。</w:t>
      </w:r>
    </w:p>
    <w:p w14:paraId="7F5F6691">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加强科技型项目招商。</w:t>
      </w:r>
      <w:r>
        <w:rPr>
          <w:rFonts w:ascii="Times New Roman" w:hAnsi="Times New Roman" w:eastAsia="方正仿宋_GBK" w:cs="Times New Roman"/>
          <w:color w:val="000000" w:themeColor="text1"/>
          <w:sz w:val="32"/>
          <w:szCs w:val="32"/>
          <w14:textFill>
            <w14:solidFill>
              <w14:schemeClr w14:val="tx1"/>
            </w14:solidFill>
          </w14:textFill>
        </w:rPr>
        <w:t>坚持科技创新和重大项目双轮驱动，</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实施“科技型企业+产业配套”模式，精准招引拥有核心技术、自主知识产权、市场前景好的高成长性科技企业和项目</w:t>
      </w:r>
      <w:r>
        <w:rPr>
          <w:rFonts w:ascii="Times New Roman" w:hAnsi="Times New Roman" w:eastAsia="方正仿宋_GBK" w:cs="Times New Roman"/>
          <w:color w:val="000000" w:themeColor="text1"/>
          <w:sz w:val="32"/>
          <w:szCs w:val="32"/>
          <w14:textFill>
            <w14:solidFill>
              <w14:schemeClr w14:val="tx1"/>
            </w14:solidFill>
          </w14:textFill>
        </w:rPr>
        <w:t>。举办面向高端化、智能化科技型产业的“双招双引”推介活动，通过人才带项目，实现人才与项目的协同引进。充分发挥科创人才创业投资政策引导作用，发掘招引“小而美”“专而精”的科技型项目。</w:t>
      </w:r>
      <w:r>
        <w:rPr>
          <w:rFonts w:ascii="Times New Roman" w:hAnsi="Times New Roman" w:eastAsia="仿宋_GB2312" w:cs="Times New Roman"/>
          <w:color w:val="000000" w:themeColor="text1"/>
          <w:sz w:val="32"/>
          <w:szCs w:val="40"/>
          <w14:textFill>
            <w14:solidFill>
              <w14:schemeClr w14:val="tx1"/>
            </w14:solidFill>
          </w14:textFill>
        </w:rPr>
        <w:t>到2030年，</w:t>
      </w:r>
      <w:r>
        <w:rPr>
          <w:rFonts w:ascii="Times New Roman" w:hAnsi="Times New Roman" w:eastAsia="方正仿宋_GBK" w:cs="Times New Roman"/>
          <w:color w:val="000000" w:themeColor="text1"/>
          <w:sz w:val="32"/>
          <w:szCs w:val="32"/>
          <w14:textFill>
            <w14:solidFill>
              <w14:schemeClr w14:val="tx1"/>
            </w14:solidFill>
          </w14:textFill>
        </w:rPr>
        <w:t>新开工科技型项目250个、新竣工170个。</w:t>
      </w:r>
    </w:p>
    <w:p w14:paraId="09EED2D9">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加强外资项目招商。</w:t>
      </w:r>
      <w:r>
        <w:rPr>
          <w:rFonts w:ascii="Times New Roman" w:hAnsi="Times New Roman" w:eastAsia="方正仿宋_GBK" w:cs="Times New Roman"/>
          <w:color w:val="000000" w:themeColor="text1"/>
          <w:sz w:val="32"/>
          <w:szCs w:val="32"/>
          <w14:textFill>
            <w14:solidFill>
              <w14:schemeClr w14:val="tx1"/>
            </w14:solidFill>
          </w14:textFill>
        </w:rPr>
        <w:t>聚焦长三角、粤港澳大湾区、闽三角等重点区域，建立目标外资企业与重点项目清单，加大对“小而美”“专而精”科技型中小外企的对接力度</w:t>
      </w:r>
      <w:r>
        <w:fldChar w:fldCharType="begin"/>
      </w:r>
      <w:r>
        <w:instrText xml:space="preserve"> HYPERLINK "http://www.qidongnews.com/content?key=68f83a71f43f53b52d8b458c&amp;father_key=5a72a2188f933f79018b4664" \t "https://chat.deepseek.com/a/chat/s/_blank" </w:instrText>
      </w:r>
      <w:r>
        <w:fldChar w:fldCharType="separate"/>
      </w:r>
      <w:r>
        <w:fldChar w:fldCharType="end"/>
      </w:r>
      <w:r>
        <w:rPr>
          <w:rFonts w:ascii="Times New Roman" w:hAnsi="Times New Roman" w:eastAsia="方正仿宋_GBK" w:cs="Times New Roman"/>
          <w:color w:val="000000" w:themeColor="text1"/>
          <w:sz w:val="32"/>
          <w:szCs w:val="32"/>
          <w14:textFill>
            <w14:solidFill>
              <w14:schemeClr w14:val="tx1"/>
            </w14:solidFill>
          </w14:textFill>
        </w:rPr>
        <w:t>，开展靶向招商。深化与国际经贸组织、外资协会的交流，通过外资并购等方式实现引资、引技、引智，拓展利用外资渠道。依托现有外资企业资源网络，挖掘潜在投资项目，吸引更多产业链上下游优质外资项目落地。</w:t>
      </w:r>
    </w:p>
    <w:p w14:paraId="2A1B8036">
      <w:pPr>
        <w:keepNext/>
        <w:widowControl/>
        <w:spacing w:before="156" w:beforeLines="50" w:after="156" w:afterLines="50" w:line="560" w:lineRule="exact"/>
        <w:ind w:firstLine="640" w:firstLineChars="200"/>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76" w:name="_Toc218695847"/>
      <w:r>
        <w:rPr>
          <w:rFonts w:ascii="Times New Roman" w:hAnsi="Times New Roman" w:eastAsia="方正楷体_GBK" w:cs="Times New Roman"/>
          <w:color w:val="000000" w:themeColor="text1"/>
          <w:kern w:val="0"/>
          <w:sz w:val="32"/>
          <w:szCs w:val="32"/>
          <w14:textFill>
            <w14:solidFill>
              <w14:schemeClr w14:val="tx1"/>
            </w14:solidFill>
          </w14:textFill>
        </w:rPr>
        <w:t>第二节  完善多元投资方式</w:t>
      </w:r>
      <w:bookmarkEnd w:id="76"/>
    </w:p>
    <w:p w14:paraId="7C1265FD">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发挥政府投资引导作用。</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把握政府投资导向，重点关注重大基础设施、生态环境、公共服务等领域，完善重点民生领域投资计划，推动民生类政府投资比重稳步提高，建立政府投资基础性、公益性、长远性重大项目的长效机制。深化政府投资工程集中建设改革，提高政府投资工程投资效益与建设效率。聚焦国家重大战略实施和重点领域安全能力建设，积极争取并用好中央预算内投资、超长期特别国债、地方政府专项债券、新型政策性金融工具等上级资金，高质量推进“两重”“两新”项目滚动储备和有效实施。</w:t>
      </w:r>
    </w:p>
    <w:p w14:paraId="68DF9AF6">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激发社会投资活力。</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通过财政贴息、基金注资、贷款贴息、担保补贴、投资补助等间接投资方式，引导国有资本、民间资本、外国资本等资金投向重点领域和关键环节。落实“非禁即入”政策要求，鼓励社会资本向新型基础设施、城市更新、农业农村等重点领域以及教育、医疗、养老、托育等公共服务领域投资。构建“基金+REITs+平台”多元化融资模式，探索基础设施领域REITs试点。引导各类优质资源向高端装备制造、新材料、大健康等领域集聚，围绕投入大、社会力量相对缺位的战略性新兴产业和未来产业等领域投资布局。促进服务业投资稳定增长，引导金融服务、科技服务、信息服务等高附加值生产性服务业集聚。“十五五”期间，民间投资占全社会投资比重保持在90%以上。</w:t>
      </w:r>
    </w:p>
    <w:p w14:paraId="6548B98A">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创新投融资方式。</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加大金融服务实体经济力度，深化政银企合作，聚焦重大战略、重点领域、薄弱环节，大力发展科技金融、普惠金融、绿色金融、养老金融、数字金融“五篇大文章”。推动普惠金融提质增效，引导金融机构下沉服务重心，建立中小微企业首次贷、信用贷、无还本续贷专项协调与考核机制。建立绿色项目融资库，探索碳权、林权、水权等环境权益质押融资。开发适配县域老龄化需求的养老储蓄、养老理财等产品。运用大数据、人工智能优化信贷审批流程，推出线上化、智能化金融产品。落实“降本增效”，明确政府性融资担保费率低于省</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平</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均水平，严格规范金融服务收费。开展民营企业金融服务中心试点，力争新引进3</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5家金融机构。支持民营企业发行上市和再融资，争取新增主板上市企业2家以上。</w:t>
      </w:r>
    </w:p>
    <w:p w14:paraId="3202CBBC">
      <w:pPr>
        <w:pStyle w:val="29"/>
        <w:spacing w:after="0" w:line="560" w:lineRule="exact"/>
        <w:ind w:left="0" w:leftChars="0"/>
        <w:rPr>
          <w:rFonts w:ascii="Times New Roman" w:hAnsi="Times New Roman" w:cs="Times New Roman"/>
          <w:color w:val="000000" w:themeColor="text1"/>
          <w14:textFill>
            <w14:solidFill>
              <w14:schemeClr w14:val="tx1"/>
            </w14:solidFill>
          </w14:textFill>
        </w:rPr>
      </w:pPr>
    </w:p>
    <w:p w14:paraId="304EB4A7">
      <w:pPr>
        <w:keepNext/>
        <w:spacing w:line="550" w:lineRule="exact"/>
        <w:ind w:firstLine="640" w:firstLineChars="200"/>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77" w:name="_Toc218695848"/>
      <w:r>
        <w:rPr>
          <w:rFonts w:ascii="Times New Roman" w:hAnsi="Times New Roman" w:eastAsia="方正黑体_GBK" w:cs="Times New Roman"/>
          <w:color w:val="000000" w:themeColor="text1"/>
          <w:kern w:val="0"/>
          <w:sz w:val="32"/>
          <w:szCs w:val="32"/>
          <w14:textFill>
            <w14:solidFill>
              <w14:schemeClr w14:val="tx1"/>
            </w14:solidFill>
          </w14:textFill>
        </w:rPr>
        <w:t xml:space="preserve">第六章  </w:t>
      </w:r>
      <w:bookmarkEnd w:id="72"/>
      <w:bookmarkEnd w:id="73"/>
      <w:bookmarkEnd w:id="74"/>
      <w:r>
        <w:rPr>
          <w:rFonts w:ascii="Times New Roman" w:hAnsi="Times New Roman" w:eastAsia="方正黑体_GBK" w:cs="Times New Roman"/>
          <w:color w:val="000000" w:themeColor="text1"/>
          <w:kern w:val="0"/>
          <w:sz w:val="32"/>
          <w:szCs w:val="32"/>
          <w14:textFill>
            <w14:solidFill>
              <w14:schemeClr w14:val="tx1"/>
            </w14:solidFill>
          </w14:textFill>
        </w:rPr>
        <w:t>全方位释放消费潜能</w:t>
      </w:r>
      <w:bookmarkEnd w:id="77"/>
    </w:p>
    <w:p w14:paraId="56753DD6">
      <w:pPr>
        <w:pStyle w:val="12"/>
        <w:spacing w:line="550" w:lineRule="exact"/>
        <w:ind w:firstLine="640"/>
        <w:rPr>
          <w:rFonts w:ascii="Times New Roman" w:hAnsi="Times New Roman" w:cs="Times New Roman"/>
          <w:color w:val="000000" w:themeColor="text1"/>
          <w:szCs w:val="32"/>
          <w:shd w:val="clear" w:color="auto" w:fill="FFFFFF"/>
          <w14:textFill>
            <w14:solidFill>
              <w14:schemeClr w14:val="tx1"/>
            </w14:solidFill>
          </w14:textFill>
        </w:rPr>
      </w:pPr>
      <w:r>
        <w:rPr>
          <w:rFonts w:ascii="Times New Roman" w:hAnsi="Times New Roman" w:cs="Times New Roman"/>
          <w:color w:val="000000" w:themeColor="text1"/>
          <w:szCs w:val="32"/>
          <w:shd w:val="clear" w:color="auto" w:fill="FFFFFF"/>
          <w14:textFill>
            <w14:solidFill>
              <w14:schemeClr w14:val="tx1"/>
            </w14:solidFill>
          </w14:textFill>
        </w:rPr>
        <w:t>以提振消费为重点全方位扩大内需，坚持供给侧与需求侧协同发力，坚持投资于物和投资于人紧密结合，以新需求引领新供给，以新供给创造新需求，推动文旅融合发展。到2030年，居民人均消费支出年均增速达到6.5%。</w:t>
      </w:r>
    </w:p>
    <w:p w14:paraId="6AD22C68">
      <w:pPr>
        <w:keepNext/>
        <w:widowControl/>
        <w:spacing w:before="156" w:beforeLines="50" w:after="156" w:afterLines="50" w:line="550" w:lineRule="exact"/>
        <w:ind w:firstLine="640" w:firstLineChars="200"/>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78" w:name="_Toc218695849"/>
      <w:r>
        <w:rPr>
          <w:rFonts w:ascii="Times New Roman" w:hAnsi="Times New Roman" w:eastAsia="方正楷体_GBK" w:cs="Times New Roman"/>
          <w:color w:val="000000" w:themeColor="text1"/>
          <w:kern w:val="0"/>
          <w:sz w:val="32"/>
          <w:szCs w:val="32"/>
          <w14:textFill>
            <w14:solidFill>
              <w14:schemeClr w14:val="tx1"/>
            </w14:solidFill>
          </w14:textFill>
        </w:rPr>
        <w:t>第一节  持续提振消费</w:t>
      </w:r>
      <w:bookmarkEnd w:id="78"/>
    </w:p>
    <w:p w14:paraId="1BFE80AD">
      <w:pPr>
        <w:spacing w:line="55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推动商品消费提质升级。</w:t>
      </w:r>
      <w:r>
        <w:rPr>
          <w:rFonts w:ascii="Times New Roman" w:hAnsi="Times New Roman" w:eastAsia="方正仿宋_GBK" w:cs="Times New Roman"/>
          <w:color w:val="000000" w:themeColor="text1"/>
          <w:sz w:val="32"/>
          <w:szCs w:val="32"/>
          <w14:textFill>
            <w14:solidFill>
              <w14:schemeClr w14:val="tx1"/>
            </w14:solidFill>
          </w14:textFill>
        </w:rPr>
        <w:t>深入实施提振消费专项行动，贯彻落实国家、省、市消费品以旧换新政策，加大汽车、家电、家居等大宗消费市场主体的引育。支持“首发经济”“首店经济”，鼓励招引国内外知名零售、餐饮等商业品牌入驻。鼓励直播电商、社交电商、社群营销等新业态发展，鼓励企业拓展“线上+线下”融合服务，推进传统商店、商圈智慧化改造。支持老字号企业创新发展，鼓励加入“苏品苏货”“淮安好货”清单，参与国家、省、市推广活动，提升产品附加值和市场影响力。举办形式多样促消费活动，持续擦亮“金情消费·乐享湖城”消费品牌，提升消费信任。</w:t>
      </w:r>
    </w:p>
    <w:p w14:paraId="0D9B4019">
      <w:pPr>
        <w:pStyle w:val="29"/>
        <w:spacing w:after="0" w:line="55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拓展县域消费新空间。</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推动中心商圈高品质发展，完善片区商业服务功能，打造集购物、餐饮、休闲、文化、娱乐于一体的消费集聚区。完善社区商业网络，发展社区嵌入式、便捷化服务消费，加快“一刻钟便民生活圈”建设，优化社区超市、生鲜菜场、便利店、生活服务中心等业态布局。整合文化艺术中心、体育中心、尧帝古城资源，打造城南片区消费圈，提升黎城市场、华海路、三河湾等特色街区消费品质，加强消费基础设施</w:t>
      </w:r>
      <w:r>
        <w:rPr>
          <w:rFonts w:ascii="Times New Roman" w:hAnsi="Times New Roman" w:eastAsia="方正仿宋_GBK" w:cs="Times New Roman"/>
          <w:color w:val="000000" w:themeColor="text1"/>
          <w:sz w:val="32"/>
          <w:szCs w:val="32"/>
          <w14:textFill>
            <w14:solidFill>
              <w14:schemeClr w14:val="tx1"/>
            </w14:solidFill>
          </w14:textFill>
        </w:rPr>
        <w:t>下沉，培育</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壮大商圈经</w:t>
      </w:r>
      <w:r>
        <w:rPr>
          <w:rFonts w:ascii="Times New Roman" w:hAnsi="Times New Roman" w:eastAsia="方正仿宋_GBK" w:cs="Times New Roman"/>
          <w:color w:val="000000" w:themeColor="text1"/>
          <w:sz w:val="32"/>
          <w:szCs w:val="32"/>
          <w14:textFill>
            <w14:solidFill>
              <w14:schemeClr w14:val="tx1"/>
            </w14:solidFill>
          </w14:textFill>
        </w:rPr>
        <w:t>济、市场经济、夜经济。建设高铁智能商务区，培育引入零售、餐饮、住宿新模式，打造快捷、便利、特色产品优选的商贸场景。推动商业设施、物流网络向镇街延伸，完善农村电商服务网络与商贸流通基础设施，布局建设无人快递服务站、无人售货机等智能终端设施，打造便捷化城乡服务网络。</w:t>
      </w:r>
    </w:p>
    <w:p w14:paraId="17F6AAFE">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全方位优化消费环境。</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切实保障居民休息休假权益，落实带薪年休假制度，提升居民消费意愿。积极发展青春经济</w:t>
      </w:r>
      <w:r>
        <w:rPr>
          <w:rFonts w:ascii="Times New Roman" w:hAnsi="Times New Roman" w:eastAsia="方正仿宋_GBK" w:cs="Times New Roman"/>
          <w:color w:val="000000" w:themeColor="text1"/>
          <w:sz w:val="32"/>
          <w:szCs w:val="32"/>
          <w14:textFill>
            <w14:solidFill>
              <w14:schemeClr w14:val="tx1"/>
            </w14:solidFill>
          </w14:textFill>
        </w:rPr>
        <w:t>，紧扣青年消费习惯与兴趣导向，拓展相关业态，培育人形机器人和具身智能等潜力消费领域，充分释放青</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年群体消费潜能。推进新型消费标准化，完善线上线下一体化监管机制，健全市场监测、权益保护、产品追溯机制。推行诚信经营和诚信消费，依法保障消费者合法权益，畅通消费者维权渠道，营造安全放心的消费环境。</w:t>
      </w:r>
    </w:p>
    <w:p w14:paraId="3BA8D7FD">
      <w:pPr>
        <w:pStyle w:val="29"/>
        <w:rPr>
          <w:rFonts w:ascii="Times New Roman" w:hAnsi="Times New Roman" w:cs="Times New Roman"/>
        </w:r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4A43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000" w:type="pct"/>
            <w:vAlign w:val="center"/>
          </w:tcPr>
          <w:p w14:paraId="6D0A96AE">
            <w:pPr>
              <w:tabs>
                <w:tab w:val="right" w:pos="8205"/>
              </w:tabs>
              <w:spacing w:line="400" w:lineRule="exact"/>
              <w:jc w:val="center"/>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28"/>
                <w:szCs w:val="28"/>
                <w14:textFill>
                  <w14:solidFill>
                    <w14:schemeClr w14:val="tx1"/>
                  </w14:solidFill>
                </w14:textFill>
              </w:rPr>
              <w:t>专栏3：“十五五”消费服务重点工程项目</w:t>
            </w:r>
          </w:p>
        </w:tc>
      </w:tr>
      <w:tr w14:paraId="5840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tcPr>
          <w:p w14:paraId="1C3FCBEB">
            <w:pPr>
              <w:tabs>
                <w:tab w:val="right" w:pos="8205"/>
              </w:tabs>
              <w:spacing w:line="400" w:lineRule="exact"/>
              <w:ind w:firstLine="560" w:firstLineChars="200"/>
              <w:rPr>
                <w:rFonts w:ascii="Times New Roman" w:hAnsi="Times New Roman" w:eastAsia="方正楷体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三河湾夜间消费集聚区提档升级项目：</w:t>
            </w:r>
            <w:r>
              <w:rPr>
                <w:rFonts w:ascii="Times New Roman" w:hAnsi="Times New Roman" w:eastAsia="方正仿宋_GBK" w:cs="Times New Roman"/>
                <w:color w:val="000000" w:themeColor="text1"/>
                <w:sz w:val="28"/>
                <w:szCs w:val="28"/>
                <w14:textFill>
                  <w14:solidFill>
                    <w14:schemeClr w14:val="tx1"/>
                  </w14:solidFill>
                </w14:textFill>
              </w:rPr>
              <w:t>增设环岛游线、游船及公共设施等，改造荷花广场及周边现有消费集聚区。</w:t>
            </w:r>
          </w:p>
          <w:p w14:paraId="567EA62D">
            <w:pPr>
              <w:tabs>
                <w:tab w:val="right" w:pos="8205"/>
              </w:tabs>
              <w:spacing w:line="400" w:lineRule="exact"/>
              <w:ind w:firstLine="560" w:firstLineChars="200"/>
              <w:rPr>
                <w:rFonts w:ascii="Times New Roman" w:hAnsi="Times New Roman" w:eastAsia="方正楷体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建设东路南侧、高宝路西侧综合商服中心项目</w:t>
            </w:r>
            <w:r>
              <w:rPr>
                <w:rFonts w:ascii="Times New Roman" w:hAnsi="Times New Roman" w:eastAsia="方正仿宋_GBK" w:cs="Times New Roman"/>
                <w:color w:val="000000" w:themeColor="text1"/>
                <w:sz w:val="28"/>
                <w:szCs w:val="28"/>
                <w14:textFill>
                  <w14:solidFill>
                    <w14:schemeClr w14:val="tx1"/>
                  </w14:solidFill>
                </w14:textFill>
              </w:rPr>
              <w:t>：新建综合商服中心及基础设施，以配套周边学校、居民区及企业。</w:t>
            </w:r>
          </w:p>
          <w:p w14:paraId="53B9E1D7">
            <w:pPr>
              <w:tabs>
                <w:tab w:val="right" w:pos="8205"/>
              </w:tabs>
              <w:spacing w:line="400" w:lineRule="exact"/>
              <w:ind w:firstLine="560" w:firstLineChars="200"/>
              <w:rPr>
                <w:rFonts w:ascii="Times New Roman" w:hAnsi="Times New Roman" w:eastAsia="方正楷体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牌楼公寓邻里中心项目：</w:t>
            </w:r>
            <w:r>
              <w:rPr>
                <w:rFonts w:ascii="Times New Roman" w:hAnsi="Times New Roman" w:eastAsia="方正仿宋_GBK" w:cs="Times New Roman"/>
                <w:color w:val="000000" w:themeColor="text1"/>
                <w:sz w:val="28"/>
                <w:szCs w:val="28"/>
                <w14:textFill>
                  <w14:solidFill>
                    <w14:schemeClr w14:val="tx1"/>
                  </w14:solidFill>
                </w14:textFill>
              </w:rPr>
              <w:t>打造牌楼公寓周边“农贸市场+商超”一体化项目，为周边居民提供便捷、舒适的生活体验。</w:t>
            </w:r>
          </w:p>
          <w:p w14:paraId="1D19D89D">
            <w:pPr>
              <w:tabs>
                <w:tab w:val="right" w:pos="8205"/>
              </w:tabs>
              <w:spacing w:line="40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九里花园—邻里中心项目：</w:t>
            </w:r>
            <w:r>
              <w:rPr>
                <w:rFonts w:ascii="Times New Roman" w:hAnsi="Times New Roman" w:eastAsia="方正仿宋_GBK" w:cs="Times New Roman"/>
                <w:color w:val="000000" w:themeColor="text1"/>
                <w:sz w:val="28"/>
                <w:szCs w:val="28"/>
                <w14:textFill>
                  <w14:solidFill>
                    <w14:schemeClr w14:val="tx1"/>
                  </w14:solidFill>
                </w14:textFill>
              </w:rPr>
              <w:t>打造社区综合型邻里中心。</w:t>
            </w:r>
          </w:p>
          <w:p w14:paraId="0397BAE8">
            <w:pPr>
              <w:tabs>
                <w:tab w:val="right" w:pos="8205"/>
              </w:tabs>
              <w:spacing w:line="400" w:lineRule="exact"/>
              <w:ind w:firstLine="560" w:firstLineChars="200"/>
              <w:rPr>
                <w:rFonts w:ascii="Times New Roman" w:hAnsi="Times New Roman" w:eastAsia="方正楷体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金金有味食品供应链项目：</w:t>
            </w:r>
            <w:r>
              <w:rPr>
                <w:rFonts w:ascii="Times New Roman" w:hAnsi="Times New Roman" w:eastAsia="方正仿宋_GBK" w:cs="Times New Roman"/>
                <w:color w:val="000000" w:themeColor="text1"/>
                <w:sz w:val="28"/>
                <w:szCs w:val="28"/>
                <w14:textFill>
                  <w14:solidFill>
                    <w14:schemeClr w14:val="tx1"/>
                  </w14:solidFill>
                </w14:textFill>
              </w:rPr>
              <w:t>将原有厂房改造成冷库，设置收发货、储存、流通加工、分拣、待发暂存、装卸作业、快检中心等功能区域；购置安装冷藏储存、检测、加工等设备仪器。</w:t>
            </w:r>
          </w:p>
          <w:p w14:paraId="22F626F2">
            <w:pPr>
              <w:tabs>
                <w:tab w:val="right" w:pos="8205"/>
              </w:tabs>
              <w:spacing w:line="400" w:lineRule="exact"/>
              <w:ind w:firstLine="560" w:firstLineChars="200"/>
              <w:rPr>
                <w:rFonts w:ascii="Times New Roman" w:hAnsi="Times New Roman" w:eastAsia="方正楷体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国控存量房综合利用项目：</w:t>
            </w:r>
            <w:r>
              <w:rPr>
                <w:rFonts w:ascii="Times New Roman" w:hAnsi="Times New Roman" w:eastAsia="方正仿宋_GBK" w:cs="Times New Roman"/>
                <w:color w:val="000000" w:themeColor="text1"/>
                <w:sz w:val="28"/>
                <w:szCs w:val="28"/>
                <w14:textFill>
                  <w14:solidFill>
                    <w14:schemeClr w14:val="tx1"/>
                  </w14:solidFill>
                </w14:textFill>
              </w:rPr>
              <w:t>存量房源升级改造为民宿、零星出租房、公租房、人才房，实现综合利用。</w:t>
            </w:r>
          </w:p>
        </w:tc>
      </w:tr>
    </w:tbl>
    <w:p w14:paraId="40E1965C">
      <w:pPr>
        <w:rPr>
          <w:rFonts w:ascii="Times New Roman" w:hAnsi="Times New Roman" w:eastAsia="方正楷体_GBK" w:cs="Times New Roman"/>
          <w:color w:val="000000" w:themeColor="text1"/>
          <w:kern w:val="0"/>
          <w:sz w:val="32"/>
          <w:szCs w:val="32"/>
          <w14:textFill>
            <w14:solidFill>
              <w14:schemeClr w14:val="tx1"/>
            </w14:solidFill>
          </w14:textFill>
        </w:rPr>
      </w:pPr>
      <w:bookmarkStart w:id="79" w:name="_Toc218695850"/>
      <w:r>
        <w:rPr>
          <w:rFonts w:ascii="Times New Roman" w:hAnsi="Times New Roman" w:eastAsia="方正楷体_GBK" w:cs="Times New Roman"/>
          <w:color w:val="000000" w:themeColor="text1"/>
          <w:kern w:val="0"/>
          <w:sz w:val="32"/>
          <w:szCs w:val="32"/>
          <w14:textFill>
            <w14:solidFill>
              <w14:schemeClr w14:val="tx1"/>
            </w14:solidFill>
          </w14:textFill>
        </w:rPr>
        <w:br w:type="page"/>
      </w:r>
    </w:p>
    <w:p w14:paraId="4AF21BB2">
      <w:pPr>
        <w:keepNext/>
        <w:widowControl/>
        <w:spacing w:after="156" w:afterLines="50" w:line="55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第二节  推动文旅融合发展</w:t>
      </w:r>
      <w:bookmarkEnd w:id="79"/>
    </w:p>
    <w:p w14:paraId="451D488A">
      <w:pPr>
        <w:spacing w:line="55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强化全域旅游示范赋能。</w:t>
      </w:r>
      <w:r>
        <w:rPr>
          <w:rFonts w:ascii="Times New Roman" w:hAnsi="Times New Roman" w:eastAsia="方正仿宋_GBK" w:cs="Times New Roman"/>
          <w:color w:val="000000" w:themeColor="text1"/>
          <w:kern w:val="0"/>
          <w:sz w:val="32"/>
          <w:szCs w:val="32"/>
          <w14:textFill>
            <w14:solidFill>
              <w14:schemeClr w14:val="tx1"/>
            </w14:solidFill>
          </w14:textFill>
        </w:rPr>
        <w:t>围绕金湖旅游品牌创新创优，通过业态延伸拓展、项目更新提质、布局优化和资源融合，在点面串联发展上力争新突破，打造金湖文旅度假集聚新高地，建成南京都市圈休闲康养“后花园”。</w:t>
      </w:r>
      <w:r>
        <w:rPr>
          <w:rFonts w:ascii="Times New Roman" w:hAnsi="Times New Roman" w:eastAsia="方正仿宋_GBK" w:cs="Times New Roman"/>
          <w:color w:val="000000" w:themeColor="text1"/>
          <w:sz w:val="32"/>
          <w:szCs w:val="32"/>
          <w14:textFill>
            <w14:solidFill>
              <w14:schemeClr w14:val="tx1"/>
            </w14:solidFill>
          </w14:textFill>
        </w:rPr>
        <w:t>加强水上森林、荷花荡、尧想国、尧帝古城等重点景区的联动开发与业态升级。丰富“春赏花、夏研学、秋丰收、冬民俗”的四季旅游主题内容，打造多条具有地域特色的旅游线路，针对不同时节、不同客群精准推送。充分利用“跟着赛事去旅游”“跟着演出去旅游”“跟着影视去旅游”“跟着运河去旅游”等活动影响力，丰富旅游产品供给。</w:t>
      </w:r>
      <w:r>
        <w:rPr>
          <w:rFonts w:ascii="Times New Roman" w:hAnsi="Times New Roman" w:eastAsia="方正仿宋_GBK" w:cs="Times New Roman"/>
          <w:color w:val="000000" w:themeColor="text1"/>
          <w:kern w:val="0"/>
          <w:sz w:val="32"/>
          <w:szCs w:val="32"/>
          <w14:textFill>
            <w14:solidFill>
              <w14:schemeClr w14:val="tx1"/>
            </w14:solidFill>
          </w14:textFill>
        </w:rPr>
        <w:t>探索“低空+旅游”应用场景，开发“空中看金湖”观光项目，串联白马湖、宝应湖、高邮湖周边景点。到2030年，五年累计接待游客量突破1000万人次。</w:t>
      </w:r>
    </w:p>
    <w:p w14:paraId="0F74BDE9">
      <w:pPr>
        <w:spacing w:line="55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放大文旅融合品牌影响。</w:t>
      </w:r>
      <w:r>
        <w:rPr>
          <w:rFonts w:ascii="Times New Roman" w:hAnsi="Times New Roman" w:eastAsia="方正仿宋_GBK" w:cs="Times New Roman"/>
          <w:color w:val="000000" w:themeColor="text1"/>
          <w:sz w:val="32"/>
          <w:szCs w:val="32"/>
          <w14:textFill>
            <w14:solidFill>
              <w14:schemeClr w14:val="tx1"/>
            </w14:solidFill>
          </w14:textFill>
        </w:rPr>
        <w:t>坚持以文塑旅、以旅彰文，放大“杉青水秀</w:t>
      </w:r>
      <w:r>
        <w:rPr>
          <w:rFonts w:ascii="Times New Roman" w:hAnsi="Times New Roman" w:eastAsia="微软雅黑"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为荷而来”城市文旅品牌影响力。拓展丰富康养旅游、研学旅游、美食旅游、红色旅游等文旅业态，探索文商旅体展一体化营销模式，推动文旅、商旅、工旅、体旅融合发展。强化旅游演艺、高端民宿、数字文旅等项目培育，推动旅游产品和服务迭代。</w:t>
      </w:r>
      <w:r>
        <w:rPr>
          <w:rFonts w:ascii="Times New Roman" w:hAnsi="Times New Roman" w:eastAsia="方正仿宋_GBK" w:cs="Times New Roman"/>
          <w:color w:val="000000" w:themeColor="text1"/>
          <w:sz w:val="32"/>
          <w:szCs w:val="40"/>
          <w:lang w:bidi="ar"/>
          <w14:textFill>
            <w14:solidFill>
              <w14:schemeClr w14:val="tx1"/>
            </w14:solidFill>
          </w14:textFill>
        </w:rPr>
        <w:t>大力发展乡村产业新业态，深度挖掘乡村自然、文化资源，推进农文旅融合发展，打造一批休闲农业品牌。</w:t>
      </w:r>
      <w:r>
        <w:rPr>
          <w:rFonts w:ascii="Times New Roman" w:hAnsi="Times New Roman" w:eastAsia="方正仿宋_GBK" w:cs="Times New Roman"/>
          <w:color w:val="000000" w:themeColor="text1"/>
          <w:sz w:val="32"/>
          <w:szCs w:val="32"/>
          <w14:textFill>
            <w14:solidFill>
              <w14:schemeClr w14:val="tx1"/>
            </w14:solidFill>
          </w14:textFill>
        </w:rPr>
        <w:t>进一步保护传承大运河文化“金名片”，积极申办大运河流域（江苏段）民歌汇演，举办新型民俗踩街展演、乡村旅游嘉年华、醉美赏荷季等活动。顺畅承接“苏超”“淮超”等热门活动，</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以体育赛事、演唱会等各类文体活动为纽带，积极拓展票根经济，扩大“日赏荷 夜观赛”等文旅活动的体验宣传</w:t>
      </w:r>
      <w:r>
        <w:rPr>
          <w:rFonts w:ascii="Times New Roman" w:hAnsi="Times New Roman" w:eastAsia="方正仿宋_GBK" w:cs="Times New Roman"/>
          <w:color w:val="000000" w:themeColor="text1"/>
          <w:sz w:val="32"/>
          <w:szCs w:val="32"/>
          <w14:textFill>
            <w14:solidFill>
              <w14:schemeClr w14:val="tx1"/>
            </w14:solidFill>
          </w14:textFill>
        </w:rPr>
        <w:t>。支持“金金有味”“尧享味来”等文创产品品牌化、市场化发展，推动“金小尧”“荷小仙”等IP形象融入城市宣传与旅游消费。</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建设文化创意产业园，举办文化创意设计大赛。</w:t>
      </w:r>
    </w:p>
    <w:p w14:paraId="0CA65D14">
      <w:pPr>
        <w:spacing w:line="55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提升特色餐饮服务品质。</w:t>
      </w:r>
      <w:r>
        <w:rPr>
          <w:rFonts w:ascii="Times New Roman" w:hAnsi="Times New Roman" w:eastAsia="方正仿宋_GBK" w:cs="Times New Roman"/>
          <w:color w:val="000000" w:themeColor="text1"/>
          <w:kern w:val="0"/>
          <w:sz w:val="32"/>
          <w:szCs w:val="32"/>
          <w14:textFill>
            <w14:solidFill>
              <w14:schemeClr w14:val="tx1"/>
            </w14:solidFill>
          </w14:textFill>
        </w:rPr>
        <w:t>提升餐饮服务品质，引进知名餐饮品牌，培育特色餐饮企业。借助“世界美食之都”城市名片效应及“江苏味道”“我是厨神”等餐饮系列活动IP流量，发展适应消费潮流的餐饮、消费新模式，满足群众多元化餐饮消费需求。支持重点商圈、街区开展美食街区和夜间经济集聚区的建设改造，鼓励餐饮企业打造龙虾宴、全荷宴等特色宴席，推动餐饮企业结合本地特色打造美食特色品牌，形成餐饮消费打卡地，擦亮“荷美金湖”美食名片。到2030年，新培育限额以上餐饮企业50家以上。</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689C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54D7C0A">
            <w:pPr>
              <w:tabs>
                <w:tab w:val="right" w:pos="8205"/>
              </w:tabs>
              <w:spacing w:line="400" w:lineRule="exact"/>
              <w:jc w:val="center"/>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28"/>
                <w:szCs w:val="28"/>
                <w14:textFill>
                  <w14:solidFill>
                    <w14:schemeClr w14:val="tx1"/>
                  </w14:solidFill>
                </w14:textFill>
              </w:rPr>
              <w:t>专栏4：“十五五”旅游度假区重点项目</w:t>
            </w:r>
          </w:p>
        </w:tc>
      </w:tr>
      <w:tr w14:paraId="22F7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tcPr>
          <w:p w14:paraId="55E1A29D">
            <w:pPr>
              <w:tabs>
                <w:tab w:val="right" w:pos="8205"/>
              </w:tabs>
              <w:spacing w:line="34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荷花荡—尧想国旅游度假片区：</w:t>
            </w:r>
            <w:r>
              <w:rPr>
                <w:rFonts w:ascii="Times New Roman" w:hAnsi="Times New Roman" w:eastAsia="方正仿宋_GBK" w:cs="Times New Roman"/>
                <w:color w:val="000000" w:themeColor="text1"/>
                <w:sz w:val="28"/>
                <w:szCs w:val="28"/>
                <w14:textFill>
                  <w14:solidFill>
                    <w14:schemeClr w14:val="tx1"/>
                  </w14:solidFill>
                </w14:textFill>
              </w:rPr>
              <w:t>整合荷花荡资源，加强荷藕等产业与文旅融合，布局体验性旅游产品；推进水漾年华实质性运营，丰富景区业态体系；挖掘荷韵小镇非遗文旅资源，延伸荷产业链，打造中国荷产业高地；加强与荷韵小镇、高桥村等景区串联互动，力争达到省级旅游度假区标准。</w:t>
            </w:r>
          </w:p>
          <w:p w14:paraId="4C28571F">
            <w:pPr>
              <w:tabs>
                <w:tab w:val="right" w:pos="8205"/>
              </w:tabs>
              <w:spacing w:line="34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水上森林旅游度假区：</w:t>
            </w:r>
            <w:r>
              <w:rPr>
                <w:rFonts w:ascii="Times New Roman" w:hAnsi="Times New Roman" w:eastAsia="方正仿宋_GBK" w:cs="Times New Roman"/>
                <w:color w:val="000000" w:themeColor="text1"/>
                <w:sz w:val="28"/>
                <w:szCs w:val="28"/>
                <w14:textFill>
                  <w14:solidFill>
                    <w14:schemeClr w14:val="tx1"/>
                  </w14:solidFill>
                </w14:textFill>
              </w:rPr>
              <w:t>围绕水上森林温泉康养，进一步丰富生态养生、健康理疗、老年颐养、森林度假、湿地休闲等康养体验课程，提升游览价值与吸引力，丰富景区周边配套业态，推动观光型景区向旅游度假区转型升级，争创以森林养生为特色的省级旅游度假区。</w:t>
            </w:r>
          </w:p>
          <w:p w14:paraId="42A3244B">
            <w:pPr>
              <w:tabs>
                <w:tab w:val="right" w:pos="8205"/>
              </w:tabs>
              <w:spacing w:line="34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白马湖生态休闲度假区：</w:t>
            </w:r>
            <w:r>
              <w:rPr>
                <w:rFonts w:ascii="Times New Roman" w:hAnsi="Times New Roman" w:eastAsia="方正仿宋_GBK" w:cs="Times New Roman"/>
                <w:color w:val="000000" w:themeColor="text1"/>
                <w:sz w:val="28"/>
                <w:szCs w:val="28"/>
                <w14:textFill>
                  <w14:solidFill>
                    <w14:schemeClr w14:val="tx1"/>
                  </w14:solidFill>
                </w14:textFill>
              </w:rPr>
              <w:t>对接市白马湖片区开发利用，依托白马湖及周边地区优越的生态环境，打造一批湿地休闲观光、温泉度假以及康体养生产品，强化向日葵的故事景区、湿地公园、白马湖渔村等串联互动，实现错位发展，打造白马湖生态休闲度假区，积极争创省级旅游度假区。</w:t>
            </w:r>
          </w:p>
          <w:p w14:paraId="07B41788">
            <w:pPr>
              <w:tabs>
                <w:tab w:val="right" w:pos="8205"/>
              </w:tabs>
              <w:spacing w:line="340" w:lineRule="exact"/>
              <w:ind w:firstLine="560" w:firstLineChars="200"/>
              <w:rPr>
                <w:rFonts w:ascii="Times New Roman" w:hAnsi="Times New Roman" w:eastAsia="方正楷体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乡村休闲旅游产业集聚区：</w:t>
            </w:r>
            <w:r>
              <w:rPr>
                <w:rFonts w:ascii="Times New Roman" w:hAnsi="Times New Roman" w:eastAsia="方正仿宋_GBK" w:cs="Times New Roman"/>
                <w:color w:val="000000" w:themeColor="text1"/>
                <w:sz w:val="28"/>
                <w:szCs w:val="28"/>
                <w14:textFill>
                  <w14:solidFill>
                    <w14:schemeClr w14:val="tx1"/>
                  </w14:solidFill>
                </w14:textFill>
              </w:rPr>
              <w:t>推动三园农庄、十里果林、杉荷里、渔乐湾、黄庄等乡村旅游业态提档升级。围绕宁淮高铁都市圈，加强景区与乡村点线路串联，形成金湖文旅产品组合拳，提升品牌吸引力，打造业态丰富、特色鲜明的乡村休闲旅游产业集聚区。</w:t>
            </w:r>
          </w:p>
        </w:tc>
      </w:tr>
    </w:tbl>
    <w:p w14:paraId="0BB9A9B0">
      <w:pPr>
        <w:spacing w:line="40" w:lineRule="exact"/>
        <w:rPr>
          <w:rFonts w:ascii="Times New Roman" w:hAnsi="Times New Roman" w:cs="Times New Roman"/>
          <w:color w:val="000000" w:themeColor="text1"/>
          <w14:textFill>
            <w14:solidFill>
              <w14:schemeClr w14:val="tx1"/>
            </w14:solidFill>
          </w14:textFill>
        </w:rPr>
      </w:pPr>
      <w:bookmarkStart w:id="80" w:name="_Toc213057398"/>
      <w:bookmarkStart w:id="81" w:name="_Toc199114195"/>
      <w:bookmarkStart w:id="82" w:name="_Toc214978097"/>
    </w:p>
    <w:p w14:paraId="2385C25A">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r>
        <w:rPr>
          <w:rFonts w:ascii="Times New Roman" w:hAnsi="Times New Roman" w:eastAsia="方正小标宋_GBK" w:cs="Times New Roman"/>
          <w:color w:val="000000" w:themeColor="text1"/>
          <w:sz w:val="36"/>
          <w:szCs w:val="36"/>
          <w14:textFill>
            <w14:solidFill>
              <w14:schemeClr w14:val="tx1"/>
            </w14:solidFill>
          </w14:textFill>
        </w:rPr>
        <w:br w:type="page"/>
      </w:r>
      <w:bookmarkStart w:id="83" w:name="_Toc218695851"/>
      <w:r>
        <w:rPr>
          <w:rFonts w:ascii="Times New Roman" w:hAnsi="Times New Roman" w:eastAsia="方正小标宋_GBK" w:cs="Times New Roman"/>
          <w:color w:val="000000" w:themeColor="text1"/>
          <w:sz w:val="36"/>
          <w:szCs w:val="36"/>
          <w14:textFill>
            <w14:solidFill>
              <w14:schemeClr w14:val="tx1"/>
            </w14:solidFill>
          </w14:textFill>
        </w:rPr>
        <w:t xml:space="preserve">第四篇  </w:t>
      </w:r>
      <w:bookmarkEnd w:id="80"/>
      <w:bookmarkEnd w:id="81"/>
      <w:bookmarkEnd w:id="82"/>
      <w:r>
        <w:rPr>
          <w:rFonts w:ascii="Times New Roman" w:hAnsi="Times New Roman" w:eastAsia="方正小标宋_GBK" w:cs="Times New Roman"/>
          <w:color w:val="000000" w:themeColor="text1"/>
          <w:sz w:val="36"/>
          <w:szCs w:val="36"/>
          <w14:textFill>
            <w14:solidFill>
              <w14:schemeClr w14:val="tx1"/>
            </w14:solidFill>
          </w14:textFill>
        </w:rPr>
        <w:t>扩大对外开放 改革攻坚激发全社会发展活力</w:t>
      </w:r>
      <w:bookmarkEnd w:id="83"/>
    </w:p>
    <w:p w14:paraId="688DBB93">
      <w:pPr>
        <w:pStyle w:val="29"/>
        <w:spacing w:after="0" w:line="560" w:lineRule="exact"/>
        <w:rPr>
          <w:rFonts w:ascii="Times New Roman" w:hAnsi="Times New Roman" w:cs="Times New Roman"/>
        </w:rPr>
      </w:pPr>
      <w:bookmarkStart w:id="84" w:name="_Toc218695852"/>
      <w:bookmarkStart w:id="85" w:name="_Toc732753339"/>
      <w:bookmarkStart w:id="86" w:name="_Toc213057399"/>
      <w:bookmarkStart w:id="87" w:name="_Toc214978098"/>
    </w:p>
    <w:p w14:paraId="5D7DC9F0">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第七章  深化重点领域改革攻坚</w:t>
      </w:r>
      <w:bookmarkEnd w:id="84"/>
      <w:bookmarkEnd w:id="85"/>
      <w:bookmarkEnd w:id="86"/>
      <w:bookmarkEnd w:id="87"/>
    </w:p>
    <w:p w14:paraId="3DB8F4D3">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坚持改革推动、规则对接、效能提升并举，抓好重要领域和关键环节改革，深度融入全国统一大市场建设，</w:t>
      </w:r>
      <w:r>
        <w:rPr>
          <w:rFonts w:ascii="Times New Roman" w:hAnsi="Times New Roman" w:eastAsia="方正仿宋_GBK" w:cs="Times New Roman"/>
          <w:color w:val="000000" w:themeColor="text1"/>
          <w:sz w:val="32"/>
          <w:szCs w:val="32"/>
          <w14:textFill>
            <w14:solidFill>
              <w14:schemeClr w14:val="tx1"/>
            </w14:solidFill>
          </w14:textFill>
        </w:rPr>
        <w:t>全力打造市场化、法治化、国际化一流营商环境，巩固拓展“金湖人好、地方好”口碑效应，深化“四最”营商环境建设。</w:t>
      </w:r>
    </w:p>
    <w:p w14:paraId="7B95070F">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88" w:name="_Toc218695853"/>
      <w:r>
        <w:rPr>
          <w:rFonts w:ascii="Times New Roman" w:hAnsi="Times New Roman" w:eastAsia="方正楷体_GBK" w:cs="Times New Roman"/>
          <w:color w:val="000000" w:themeColor="text1"/>
          <w:kern w:val="0"/>
          <w:sz w:val="32"/>
          <w:szCs w:val="32"/>
          <w14:textFill>
            <w14:solidFill>
              <w14:schemeClr w14:val="tx1"/>
            </w14:solidFill>
          </w14:textFill>
        </w:rPr>
        <w:t>第一节  提升经济治理效能</w:t>
      </w:r>
      <w:bookmarkEnd w:id="88"/>
    </w:p>
    <w:p w14:paraId="1F3CC46F">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加快转变政府职能。</w:t>
      </w:r>
      <w:r>
        <w:rPr>
          <w:rFonts w:ascii="Times New Roman" w:hAnsi="Times New Roman" w:eastAsia="方正仿宋_GBK" w:cs="Times New Roman"/>
          <w:color w:val="000000" w:themeColor="text1"/>
          <w:sz w:val="32"/>
          <w:szCs w:val="32"/>
          <w14:textFill>
            <w14:solidFill>
              <w14:schemeClr w14:val="tx1"/>
            </w14:solidFill>
          </w14:textFill>
        </w:rPr>
        <w:t>深化简政放权、创新监管方式、优化政务服务，持续降低制度性交易成本，推动政府职能从“管理者”向“服务者”转变。深入构建县、镇（街道）、村（社区）三级联动政务服务体系，形成“县级统筹、镇级枢纽、村级延伸”的三级服务架构，实现行政许可、公共服务、便民事项等政务服务全领域覆盖和集中办理，让数据跑路。完善重大政策信息发布机制，规范发布标准与流程，建设统一政策信息平台，增强政策透明度。</w:t>
      </w:r>
    </w:p>
    <w:p w14:paraId="7948A512">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深化开发园区改革创新。</w:t>
      </w:r>
      <w:r>
        <w:rPr>
          <w:rFonts w:ascii="Times New Roman" w:hAnsi="Times New Roman" w:eastAsia="方正仿宋_GBK" w:cs="Times New Roman"/>
          <w:color w:val="000000" w:themeColor="text1"/>
          <w:sz w:val="32"/>
          <w:szCs w:val="32"/>
          <w14:textFill>
            <w14:solidFill>
              <w14:schemeClr w14:val="tx1"/>
            </w14:solidFill>
          </w14:textFill>
        </w:rPr>
        <w:t>推动开发区从“规模扩张”向“质效提升”转型，优化“开发园区+功能园区”“一区多园”运营模式，打造支撑先进制造业集群发展的主阵地。加快开发区去“行政化”改革，聚力将招商和服务人员占比提升至80%以上。优化开发区管理运营机制，纵深推进“管委会主导+公司执行”运营模式，建立联席会议制度，推进“放权赋能”改革，健全投融资决策、风险运营管控等机制。深化人事薪酬制度改革，常态化、制度化高位统筹人财物要素资源，创新招商人员管理模式，建立更加符合市场规则的选人用人、薪酬激励机制。</w:t>
      </w:r>
    </w:p>
    <w:p w14:paraId="72F1A011">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加强地方财税体制改革。</w:t>
      </w:r>
      <w:r>
        <w:rPr>
          <w:rFonts w:ascii="Times New Roman" w:hAnsi="Times New Roman" w:eastAsia="方正仿宋_GBK" w:cs="Times New Roman"/>
          <w:color w:val="000000" w:themeColor="text1"/>
          <w:sz w:val="32"/>
          <w:szCs w:val="32"/>
          <w14:textFill>
            <w14:solidFill>
              <w14:schemeClr w14:val="tx1"/>
            </w14:solidFill>
          </w14:textFill>
        </w:rPr>
        <w:t>提升财政科学管理水平，深化零基预算改革，加强财政资源和预算统筹，强化集中力量办大事和基本民生财力保障。</w:t>
      </w:r>
      <w:bookmarkStart w:id="89" w:name="_Hlk216289034"/>
      <w:r>
        <w:rPr>
          <w:rFonts w:ascii="Times New Roman" w:hAnsi="Times New Roman" w:eastAsia="方正仿宋_GBK" w:cs="Times New Roman"/>
          <w:color w:val="000000" w:themeColor="text1"/>
          <w:sz w:val="32"/>
          <w:szCs w:val="32"/>
          <w14:textFill>
            <w14:solidFill>
              <w14:schemeClr w14:val="tx1"/>
            </w14:solidFill>
          </w14:textFill>
        </w:rPr>
        <w:t>规范落实各项税收优惠政策，确保优惠政策应享尽享，进一步健全高质量税收征管体系</w:t>
      </w:r>
      <w:bookmarkEnd w:id="89"/>
      <w:r>
        <w:rPr>
          <w:rFonts w:ascii="Times New Roman" w:hAnsi="Times New Roman" w:eastAsia="方正仿宋_GBK" w:cs="Times New Roman"/>
          <w:color w:val="000000" w:themeColor="text1"/>
          <w:sz w:val="32"/>
          <w:szCs w:val="32"/>
          <w14:textFill>
            <w14:solidFill>
              <w14:schemeClr w14:val="tx1"/>
            </w14:solidFill>
          </w14:textFill>
        </w:rPr>
        <w:t>。加强财会监督，促进与其他各类监督贯通协调，加快构建同高质量发展相适应的政府债务管理长效机制。</w:t>
      </w:r>
    </w:p>
    <w:p w14:paraId="3A96A82F">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持续深化国资国企改革。</w:t>
      </w:r>
      <w:r>
        <w:rPr>
          <w:rFonts w:ascii="Times New Roman" w:hAnsi="Times New Roman" w:eastAsia="方正仿宋_GBK" w:cs="Times New Roman"/>
          <w:color w:val="000000" w:themeColor="text1"/>
          <w:sz w:val="32"/>
          <w:szCs w:val="32"/>
          <w14:textFill>
            <w14:solidFill>
              <w14:schemeClr w14:val="tx1"/>
            </w14:solidFill>
          </w14:textFill>
        </w:rPr>
        <w:t>完善国资国企法人治理结构，提升国有企业实体化运行质效，深化履行战略使命评价和劳动、人事、分配制度改革，健全更具竞争力的市场化经营机制。支持与央企、省企战略合作和引入社会资本，培育核心技术和品牌优势。加强国有企业穿透式监管，对县管国有企业及所属子企业的投资、融资、经营、成本等开展预算管理，搭建全面预算管理信息化系统，加强国有企业预算偏离度考核。多措并举提升国有资产利用质效，针对性策划将无效资产全面打造成经营性资产，运用整合、并购、拓展业务等方法壮大资产规模，实施资产证券化、合作、开发等方法，实现资产变现、持续收益，分类施策，精准提高各类资产收益质量。</w:t>
      </w:r>
    </w:p>
    <w:p w14:paraId="40BEDE3A">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90" w:name="_Toc218695854"/>
      <w:r>
        <w:rPr>
          <w:rFonts w:ascii="Times New Roman" w:hAnsi="Times New Roman" w:eastAsia="方正楷体_GBK" w:cs="Times New Roman"/>
          <w:color w:val="000000" w:themeColor="text1"/>
          <w:kern w:val="0"/>
          <w:sz w:val="32"/>
          <w:szCs w:val="32"/>
          <w14:textFill>
            <w14:solidFill>
              <w14:schemeClr w14:val="tx1"/>
            </w14:solidFill>
          </w14:textFill>
        </w:rPr>
        <w:t>第二节  融入全国统一大市场建设</w:t>
      </w:r>
      <w:bookmarkEnd w:id="90"/>
    </w:p>
    <w:p w14:paraId="75603806">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推动市场制度规则衔接。</w:t>
      </w:r>
      <w:r>
        <w:rPr>
          <w:rFonts w:ascii="Times New Roman" w:hAnsi="Times New Roman" w:eastAsia="方正仿宋_GBK" w:cs="Times New Roman"/>
          <w:color w:val="000000" w:themeColor="text1"/>
          <w:sz w:val="32"/>
          <w:szCs w:val="32"/>
          <w14:textFill>
            <w14:solidFill>
              <w14:schemeClr w14:val="tx1"/>
            </w14:solidFill>
          </w14:textFill>
        </w:rPr>
        <w:t>强化产权保护、市场准入负面清单、公平竞争审查、信用管理、兼并重组、市场退出等市场经济基础制度执行落实，动态清理废除妨碍统一市场和公平竞争的政策措施，消除要素获取、资质认定、招标投标、政府采购等方面壁垒。严格落实市场准入“全国一张清单”管理要求，确保“一单尽列、单外无单”，对清单事项持续优化管理、规范审批，对清单之外领域不另设门槛。推进市场设施高标准联通，着力提高市场运行效率，积极融入全国统一的能源市场、生态环境市场。</w:t>
      </w:r>
    </w:p>
    <w:p w14:paraId="07524009">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促进各类要素资源高效配置。</w:t>
      </w:r>
      <w:r>
        <w:rPr>
          <w:rFonts w:ascii="Times New Roman" w:hAnsi="Times New Roman" w:eastAsia="方正仿宋_GBK" w:cs="Times New Roman"/>
          <w:color w:val="000000" w:themeColor="text1"/>
          <w:sz w:val="32"/>
          <w:szCs w:val="32"/>
          <w14:textFill>
            <w14:solidFill>
              <w14:schemeClr w14:val="tx1"/>
            </w14:solidFill>
          </w14:textFill>
        </w:rPr>
        <w:t>加快完善要素市场化配置体制机制，深化用地、资本、劳动力、技术和数据等要素市场化配置改革，着力降低企业综合运营成本。健全工业用地供应全周期管理机制，全面推行“标准地+双信地+定制地”供应机制，鼓励企业“二次开发”提升亩均产出，采取有偿收回、项目嫁接、兼并重组等方式有序推进闲置低效土地处置，新形成500亩以上集中连片产业用地3块。科学编制土地征收成片开发方案，统筹调控土地利用年度计划。深化能源资源价格机制改革，有序落实水、电、气价优化调整制度，创新开展绿色电力市场交易，促进能源结构优化与低碳转型。贯彻落实国家数据基础制度，加快完善统一的数据资源登记规则，促进数据要素合规高效流通交易，建立健全数据要素收益分配制度。</w:t>
      </w:r>
    </w:p>
    <w:p w14:paraId="796F4480">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推进公共资源交易平台整合共享。</w:t>
      </w:r>
      <w:r>
        <w:rPr>
          <w:rFonts w:ascii="Times New Roman" w:hAnsi="Times New Roman" w:eastAsia="方正仿宋_GBK" w:cs="Times New Roman"/>
          <w:color w:val="000000" w:themeColor="text1"/>
          <w:sz w:val="32"/>
          <w:szCs w:val="32"/>
          <w14:textFill>
            <w14:solidFill>
              <w14:schemeClr w14:val="tx1"/>
            </w14:solidFill>
          </w14:textFill>
        </w:rPr>
        <w:t>建立健全统一规范、信息共享的招标投标和公共资源交易平台体系，推进招标采购全流程电子化、交易数据互认互通。深化交易数据互联共享，推进数字证书跨区域互认，降低制度性交易成本，提升资源配置效率和公平性。按照“交易态势清晰可见、宏观决策有数可依、公共服务精准有效”理念，精准分析公共资源交易数据全貌、研判行业发展</w:t>
      </w:r>
      <w:r>
        <w:rPr>
          <w:rFonts w:hint="eastAsia" w:ascii="Times New Roman" w:hAnsi="Times New Roman" w:eastAsia="方正仿宋_GBK" w:cs="Times New Roman"/>
          <w:color w:val="000000" w:themeColor="text1"/>
          <w:sz w:val="32"/>
          <w:szCs w:val="32"/>
          <w14:textFill>
            <w14:solidFill>
              <w14:schemeClr w14:val="tx1"/>
            </w14:solidFill>
          </w14:textFill>
        </w:rPr>
        <w:t>趋势</w:t>
      </w:r>
      <w:r>
        <w:rPr>
          <w:rFonts w:ascii="Times New Roman" w:hAnsi="Times New Roman" w:eastAsia="方正仿宋_GBK" w:cs="Times New Roman"/>
          <w:color w:val="000000" w:themeColor="text1"/>
          <w:sz w:val="32"/>
          <w:szCs w:val="32"/>
          <w14:textFill>
            <w14:solidFill>
              <w14:schemeClr w14:val="tx1"/>
            </w14:solidFill>
          </w14:textFill>
        </w:rPr>
        <w:t>，提升交易信息公开透明水平，监管覆盖交易全</w:t>
      </w:r>
      <w:r>
        <w:rPr>
          <w:rFonts w:hint="eastAsia" w:ascii="Times New Roman" w:hAnsi="Times New Roman" w:eastAsia="方正仿宋_GBK" w:cs="Times New Roman"/>
          <w:color w:val="000000" w:themeColor="text1"/>
          <w:sz w:val="32"/>
          <w:szCs w:val="32"/>
          <w14:textFill>
            <w14:solidFill>
              <w14:schemeClr w14:val="tx1"/>
            </w14:solidFill>
          </w14:textFill>
        </w:rPr>
        <w:t>过</w:t>
      </w:r>
      <w:r>
        <w:rPr>
          <w:rFonts w:ascii="Times New Roman" w:hAnsi="Times New Roman" w:eastAsia="方正仿宋_GBK" w:cs="Times New Roman"/>
          <w:color w:val="000000" w:themeColor="text1"/>
          <w:sz w:val="32"/>
          <w:szCs w:val="32"/>
          <w14:textFill>
            <w14:solidFill>
              <w14:schemeClr w14:val="tx1"/>
            </w14:solidFill>
          </w14:textFill>
        </w:rPr>
        <w:t>程。</w:t>
      </w:r>
    </w:p>
    <w:p w14:paraId="3CA3DB49">
      <w:pPr>
        <w:spacing w:line="560"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支持民营企业发展壮大。</w:t>
      </w:r>
      <w:r>
        <w:rPr>
          <w:rFonts w:ascii="Times New Roman" w:hAnsi="Times New Roman" w:eastAsia="方正仿宋_GBK" w:cs="Times New Roman"/>
          <w:color w:val="000000" w:themeColor="text1"/>
          <w:sz w:val="32"/>
          <w:szCs w:val="32"/>
          <w14:textFill>
            <w14:solidFill>
              <w14:schemeClr w14:val="tx1"/>
            </w14:solidFill>
          </w14:textFill>
        </w:rPr>
        <w:t>落实促进民营经济发展的政策措施，从制度和执行上切实保障民营企业平等使用生产要素、公平参与市场竞争、同等受到法律保护。持续推动市场主体“个转企、小升规、规改股、股上市”阶梯式成长，强化企业全生命周期服务支持，推动民营企业结构优化与能级跃升。建立涉企优惠政策直达快享机制，推动从“企业找政策”转向“政策找企业”。大力弘扬企业家精神，加强民营企业家、企二代培养，支持引导民营企业完善管理制度、提高管理水平，营造全社会尊商、亲商、重商良好氛围。</w:t>
      </w:r>
    </w:p>
    <w:p w14:paraId="752051DD">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91" w:name="_Toc218695855"/>
      <w:r>
        <w:rPr>
          <w:rFonts w:ascii="Times New Roman" w:hAnsi="Times New Roman" w:eastAsia="方正楷体_GBK" w:cs="Times New Roman"/>
          <w:color w:val="000000" w:themeColor="text1"/>
          <w:kern w:val="0"/>
          <w:sz w:val="32"/>
          <w:szCs w:val="32"/>
          <w14:textFill>
            <w14:solidFill>
              <w14:schemeClr w14:val="tx1"/>
            </w14:solidFill>
          </w14:textFill>
        </w:rPr>
        <w:t>第三节  打造“四最”营商环境</w:t>
      </w:r>
      <w:bookmarkEnd w:id="91"/>
    </w:p>
    <w:p w14:paraId="73F17D06">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构建公正透明的法治环境。</w:t>
      </w:r>
      <w:r>
        <w:rPr>
          <w:rFonts w:ascii="Times New Roman" w:hAnsi="Times New Roman" w:eastAsia="方正仿宋_GBK" w:cs="Times New Roman"/>
          <w:color w:val="000000" w:themeColor="text1"/>
          <w:sz w:val="32"/>
          <w:szCs w:val="32"/>
          <w14:textFill>
            <w14:solidFill>
              <w14:schemeClr w14:val="tx1"/>
            </w14:solidFill>
          </w14:textFill>
        </w:rPr>
        <w:t>持续以深化“四最”营商环境建设为抓手，构建亲清政商关系，规范涉企执法，强化产权执法司法保护。全面落实“三阶四书一函”制度，提升监管执法的及时性、有效性和规范性。推行“一次检查、全面体检”模式，开展跨部门联合执法行动。持续落实行政执法“三项制度”，确保重大执法决定法制审核全覆盖。推动“互联网+监管执法”，实现智能分析、风险预警和精准监管。</w:t>
      </w:r>
    </w:p>
    <w:p w14:paraId="12564532">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营造高效便捷的服务环境。</w:t>
      </w:r>
      <w:r>
        <w:rPr>
          <w:rFonts w:ascii="Times New Roman" w:hAnsi="Times New Roman" w:eastAsia="方正仿宋_GBK" w:cs="Times New Roman"/>
          <w:color w:val="000000" w:themeColor="text1"/>
          <w:sz w:val="32"/>
          <w:szCs w:val="32"/>
          <w14:textFill>
            <w14:solidFill>
              <w14:schemeClr w14:val="tx1"/>
            </w14:solidFill>
          </w14:textFill>
        </w:rPr>
        <w:t>围绕产业发展全链条、企业发展全生命周期，建立以企业感受度为核心的营商环境评价机制，持续完善企业全覆盖的梯次挂钩、定期走访、问题会办、反馈跟踪工作机制。打通涉企服务渠道，推进“企业吹哨、部门报到”工作机制，提升12345热线功能和服务水平。深化“一网通办”，打造“苏服办”金湖升级版，常态化推进“高效办成一件事”，持续推进基层高频事项“一平台办理”，推动政务服务从“可办”向“好办、智办”跃升。营商环境评价持续保持全省前列，打造投资友好型城市。</w:t>
      </w:r>
    </w:p>
    <w:p w14:paraId="12A945F1">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优化公平有序的市场环境。</w:t>
      </w:r>
      <w:r>
        <w:rPr>
          <w:rFonts w:ascii="Times New Roman" w:hAnsi="Times New Roman" w:eastAsia="方正仿宋_GBK" w:cs="Times New Roman"/>
          <w:color w:val="000000" w:themeColor="text1"/>
          <w:sz w:val="32"/>
          <w:szCs w:val="32"/>
          <w14:textFill>
            <w14:solidFill>
              <w14:schemeClr w14:val="tx1"/>
            </w14:solidFill>
          </w14:textFill>
        </w:rPr>
        <w:t>推进市场监管公平公正，健全监管规则，全面提升监管能力，维护市场正常秩序。对涉及市场主体经济活动的政策措施开展公平竞争审查，探索建立分类监管模式。强化交易各方主体责任落实，建立招标人“两审一委”工作机制，实施招标代理机构动态信用评价管理，强化评标专家“一标一评”量化评价，打造统一开放、竞争有序的现代公共资源交易市场体系。规范平台经济与电商经济秩序，加强直播平台、主播及营销服务机构监管，从严打击虚假宣传、刷单炒信等违法行为。</w:t>
      </w:r>
    </w:p>
    <w:p w14:paraId="21DD0CEB">
      <w:pPr>
        <w:pStyle w:val="29"/>
        <w:spacing w:after="0" w:line="560" w:lineRule="exact"/>
        <w:rPr>
          <w:rFonts w:ascii="Times New Roman" w:hAnsi="Times New Roman" w:cs="Times New Roman"/>
        </w:rPr>
      </w:pPr>
    </w:p>
    <w:p w14:paraId="02ECD990">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92" w:name="_Toc213057401"/>
      <w:bookmarkStart w:id="93" w:name="_Toc214978100"/>
      <w:bookmarkStart w:id="94" w:name="_Toc1001972220"/>
      <w:bookmarkStart w:id="95" w:name="_Toc218695856"/>
      <w:r>
        <w:rPr>
          <w:rFonts w:ascii="Times New Roman" w:hAnsi="Times New Roman" w:eastAsia="方正黑体_GBK" w:cs="Times New Roman"/>
          <w:color w:val="000000" w:themeColor="text1"/>
          <w:kern w:val="0"/>
          <w:sz w:val="32"/>
          <w:szCs w:val="32"/>
          <w14:textFill>
            <w14:solidFill>
              <w14:schemeClr w14:val="tx1"/>
            </w14:solidFill>
          </w14:textFill>
        </w:rPr>
        <w:t xml:space="preserve">第八章 </w:t>
      </w:r>
      <w:bookmarkEnd w:id="92"/>
      <w:bookmarkEnd w:id="93"/>
      <w:bookmarkEnd w:id="94"/>
      <w:r>
        <w:rPr>
          <w:rFonts w:ascii="Times New Roman" w:hAnsi="Times New Roman" w:eastAsia="方正黑体_GBK" w:cs="Times New Roman"/>
          <w:color w:val="000000" w:themeColor="text1"/>
          <w:kern w:val="0"/>
          <w:sz w:val="32"/>
          <w:szCs w:val="32"/>
          <w14:textFill>
            <w14:solidFill>
              <w14:schemeClr w14:val="tx1"/>
            </w14:solidFill>
          </w14:textFill>
        </w:rPr>
        <w:t xml:space="preserve"> 扩大高水平对外开放</w:t>
      </w:r>
      <w:bookmarkEnd w:id="95"/>
    </w:p>
    <w:p w14:paraId="536326D4">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坚持开放引领，服务省市开放大局，在融入全球经贸网络中培育新优势，大力拓展国际市场、培育外贸新动能、增强高质量引资磁力，为金湖高质量发展注入强劲国际动能。</w:t>
      </w:r>
    </w:p>
    <w:p w14:paraId="1DD571BB">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96" w:name="_Toc218695857"/>
      <w:r>
        <w:rPr>
          <w:rFonts w:ascii="Times New Roman" w:hAnsi="Times New Roman" w:eastAsia="方正楷体_GBK" w:cs="Times New Roman"/>
          <w:color w:val="000000" w:themeColor="text1"/>
          <w:kern w:val="0"/>
          <w:sz w:val="32"/>
          <w:szCs w:val="32"/>
          <w14:textFill>
            <w14:solidFill>
              <w14:schemeClr w14:val="tx1"/>
            </w14:solidFill>
          </w14:textFill>
        </w:rPr>
        <w:t>第一节  提升对外贸易水平</w:t>
      </w:r>
      <w:bookmarkEnd w:id="96"/>
    </w:p>
    <w:p w14:paraId="2078CDD4">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多元开拓国际市场。</w:t>
      </w:r>
      <w:r>
        <w:rPr>
          <w:rFonts w:ascii="Times New Roman" w:hAnsi="Times New Roman" w:eastAsia="方正仿宋_GBK" w:cs="Times New Roman"/>
          <w:color w:val="000000" w:themeColor="text1"/>
          <w:sz w:val="32"/>
          <w:szCs w:val="32"/>
          <w14:textFill>
            <w14:solidFill>
              <w14:schemeClr w14:val="tx1"/>
            </w14:solidFill>
          </w14:textFill>
        </w:rPr>
        <w:t>立足能源装备、仪器仪表等特色产业优势，支持企业在欧盟、日韩等重点市场布局海外生产基地、研发中心或区域运营网点，深度融入区域产业链与供应链体系。支持企业拓展中东、南美等新兴市场，扩大中间品和高附加值产品出口。建立健全“政府部门引导+行业协会牵头+企业抱团出海”联动拓市机制，组织企业精准参与“江苏优品行全球”、广交会、跨交会、华交会等境内外重点行业展会。实施品牌化国际化提升工程，持续</w:t>
      </w:r>
      <w:r>
        <w:rPr>
          <w:rFonts w:hint="eastAsia" w:ascii="Times New Roman" w:hAnsi="Times New Roman" w:eastAsia="方正仿宋_GBK" w:cs="Times New Roman"/>
          <w:color w:val="000000" w:themeColor="text1"/>
          <w:sz w:val="32"/>
          <w:szCs w:val="32"/>
          <w14:textFill>
            <w14:solidFill>
              <w14:schemeClr w14:val="tx1"/>
            </w14:solidFill>
          </w14:textFill>
        </w:rPr>
        <w:t>提升</w:t>
      </w:r>
      <w:r>
        <w:rPr>
          <w:rFonts w:ascii="Times New Roman" w:hAnsi="Times New Roman" w:eastAsia="方正仿宋_GBK" w:cs="Times New Roman"/>
          <w:color w:val="000000" w:themeColor="text1"/>
          <w:sz w:val="32"/>
          <w:szCs w:val="32"/>
          <w14:textFill>
            <w14:solidFill>
              <w14:schemeClr w14:val="tx1"/>
            </w14:solidFill>
          </w14:textFill>
        </w:rPr>
        <w:t>能源装备、仪器仪表、卫生健康等企业出口产品品牌知名度和行业竞争力，打造具有区域影响力的外贸拳头品类，推动高技术产品出口比重持续提升。到2030年，外贸进出口规模达到60亿元。</w:t>
      </w:r>
    </w:p>
    <w:p w14:paraId="557D0F03">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持续发展跨境电商。</w:t>
      </w:r>
      <w:r>
        <w:rPr>
          <w:rFonts w:ascii="Times New Roman" w:hAnsi="Times New Roman" w:eastAsia="方正仿宋_GBK" w:cs="Times New Roman"/>
          <w:color w:val="000000" w:themeColor="text1"/>
          <w:sz w:val="32"/>
          <w:szCs w:val="32"/>
          <w14:textFill>
            <w14:solidFill>
              <w14:schemeClr w14:val="tx1"/>
            </w14:solidFill>
          </w14:textFill>
        </w:rPr>
        <w:t>依托跨境电商产业园载体优势，结合全县能源装备、仪器仪表、卫生健康等特色产业基础，构建“园区+产业带”集聚生态，促进传统出口企业通过数字化营销、海外仓布局实现新业态转型。深化“产业集群+跨境电商”发展模式，整合石油装备、体育健身器材等产业资源，引导企业入驻亚马逊工业品站、阿里巴巴国际站等，搭建产业带共享选品中心。建立“企业入驻—产能整合—批量出海”孵化链条，重点吸纳上下游配套企业。</w:t>
      </w:r>
    </w:p>
    <w:p w14:paraId="39B5CD7E">
      <w:pPr>
        <w:spacing w:line="560"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加快发展新兴业态。</w:t>
      </w:r>
      <w:r>
        <w:rPr>
          <w:rFonts w:ascii="Times New Roman" w:hAnsi="Times New Roman" w:eastAsia="方正仿宋_GBK" w:cs="Times New Roman"/>
          <w:color w:val="000000" w:themeColor="text1"/>
          <w:sz w:val="32"/>
          <w:szCs w:val="32"/>
          <w14:textFill>
            <w14:solidFill>
              <w14:schemeClr w14:val="tx1"/>
            </w14:solidFill>
          </w14:textFill>
        </w:rPr>
        <w:t>顺应数字化、绿色化趋势，不断培育壮大绿色贸易、数字贸易、服务贸易等外贸新动能。提升绿色贸易国际竞争力，鼓励外贸企业积极使用可再生能源，通过设备更新、工艺流程改造、再生资源原料替代等方式，降低外贸产品碳排放量。挖掘数字贸易潜力，组织企业申报国家重点服务贸易项目，支持数字企业拓展国际业务，提升研发设计、文化娱乐等数字产品出口能力。大力发展知识密集型服务贸易，积极引进金融、咨询、认证等生产性服务专业机构，全面提升国际化服务能力。到2030年，服务贸易进出口企业数量5家以上。</w:t>
      </w:r>
    </w:p>
    <w:p w14:paraId="0E9927BA">
      <w:pPr>
        <w:keepNext/>
        <w:widowControl/>
        <w:spacing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97" w:name="_Toc218695858"/>
      <w:r>
        <w:rPr>
          <w:rFonts w:ascii="Times New Roman" w:hAnsi="Times New Roman" w:eastAsia="方正楷体_GBK" w:cs="Times New Roman"/>
          <w:color w:val="000000" w:themeColor="text1"/>
          <w:kern w:val="0"/>
          <w:sz w:val="32"/>
          <w:szCs w:val="32"/>
          <w14:textFill>
            <w14:solidFill>
              <w14:schemeClr w14:val="tx1"/>
            </w14:solidFill>
          </w14:textFill>
        </w:rPr>
        <w:t>第二节  拓展双向投资合作空间</w:t>
      </w:r>
      <w:bookmarkEnd w:id="97"/>
    </w:p>
    <w:p w14:paraId="2495D2F4">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提升外资利用水平。</w:t>
      </w:r>
      <w:r>
        <w:rPr>
          <w:rFonts w:ascii="Times New Roman" w:hAnsi="Times New Roman" w:eastAsia="方正仿宋_GBK" w:cs="Times New Roman"/>
          <w:color w:val="000000" w:themeColor="text1"/>
          <w:sz w:val="32"/>
          <w:szCs w:val="32"/>
          <w14:textFill>
            <w14:solidFill>
              <w14:schemeClr w14:val="tx1"/>
            </w14:solidFill>
          </w14:textFill>
        </w:rPr>
        <w:t>落实制造业领域外资准入限制全面“清零”措施，持续推动清理外商投资领域各类隐性壁垒。依托文化、旅游、农业等资源优势，引进高效农业、设施农业及文旅类外资项目。扩大外资股权投资规模，推动境外长期资本通过私募股权、创业投资等方式参与县内优质企业科技创新转化。建立健全常态化服务企业沟通机制，鼓励引导现有外资台资企业将利润再投资于高端制造、现代服务、科技创新等重点领域，通过战略投资、股权投资等模式扩大投资，主动承接优质外资台资企业产能转移。</w:t>
      </w:r>
    </w:p>
    <w:p w14:paraId="22CA9FF4">
      <w:pPr>
        <w:spacing w:line="560"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深化国际产能合作。</w:t>
      </w:r>
      <w:r>
        <w:rPr>
          <w:rFonts w:ascii="Times New Roman" w:hAnsi="Times New Roman" w:eastAsia="方正仿宋_GBK" w:cs="Times New Roman"/>
          <w:color w:val="000000" w:themeColor="text1"/>
          <w:sz w:val="32"/>
          <w:szCs w:val="32"/>
          <w14:textFill>
            <w14:solidFill>
              <w14:schemeClr w14:val="tx1"/>
            </w14:solidFill>
          </w14:textFill>
        </w:rPr>
        <w:t>支持石油装备、风电储能、仪器仪表等优势产业企业，通过直接投资、品牌并购、股权合作等多种方式，深度整合全球资源。组织企业开展精准对接与产业集群推介，推动形成“研发—制造—销售—服务”全链条跨国协作模式。鼓励新兴能源装备企业将绿色装备与技术拓展至共建国家市场，实现从产品输出到技术标准合作的升级。</w:t>
      </w:r>
    </w:p>
    <w:p w14:paraId="526707CA">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加强与“一带一路”国家合作。</w:t>
      </w:r>
      <w:r>
        <w:rPr>
          <w:rFonts w:ascii="Times New Roman" w:hAnsi="Times New Roman" w:eastAsia="方正仿宋_GBK" w:cs="Times New Roman"/>
          <w:color w:val="000000" w:themeColor="text1"/>
          <w:sz w:val="32"/>
          <w:szCs w:val="32"/>
          <w14:textFill>
            <w14:solidFill>
              <w14:schemeClr w14:val="tx1"/>
            </w14:solidFill>
          </w14:textFill>
        </w:rPr>
        <w:t>进一步深化与中亚、东南亚、中东等在生产、建设等领域的务实合作。深化与国际经贸组织协会交流，促进项目与人才对接。依托高校院所与企业，推动建设“一带一路”特色产业合作研究基地。引导企业用好RCEP等自贸协定、优惠政策和便利化措施开拓沿线市场，在制度型开放中把握合作新机遇。</w:t>
      </w:r>
    </w:p>
    <w:p w14:paraId="51FE1322">
      <w:pPr>
        <w:pStyle w:val="29"/>
        <w:rPr>
          <w:rFonts w:ascii="Times New Roman" w:hAnsi="Times New Roman" w:cs="Times New Roman"/>
        </w:rPr>
      </w:pPr>
    </w:p>
    <w:p w14:paraId="55A2BA68">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bookmarkStart w:id="98" w:name="_Toc214978101"/>
      <w:bookmarkStart w:id="99" w:name="_Toc218695859"/>
      <w:r>
        <w:rPr>
          <w:rFonts w:ascii="Times New Roman" w:hAnsi="Times New Roman" w:eastAsia="方正小标宋_GBK" w:cs="Times New Roman"/>
          <w:color w:val="000000" w:themeColor="text1"/>
          <w:sz w:val="36"/>
          <w:szCs w:val="36"/>
          <w14:textFill>
            <w14:solidFill>
              <w14:schemeClr w14:val="tx1"/>
            </w14:solidFill>
          </w14:textFill>
        </w:rPr>
        <w:t xml:space="preserve">第五篇 </w:t>
      </w:r>
      <w:bookmarkEnd w:id="23"/>
      <w:bookmarkEnd w:id="24"/>
      <w:bookmarkEnd w:id="98"/>
      <w:r>
        <w:rPr>
          <w:rFonts w:ascii="Times New Roman" w:hAnsi="Times New Roman" w:eastAsia="方正小标宋_GBK" w:cs="Times New Roman"/>
          <w:color w:val="000000" w:themeColor="text1"/>
          <w:sz w:val="36"/>
          <w:szCs w:val="36"/>
          <w14:textFill>
            <w14:solidFill>
              <w14:schemeClr w14:val="tx1"/>
            </w14:solidFill>
          </w14:textFill>
        </w:rPr>
        <w:t xml:space="preserve"> 深化城乡融合 绿色转型塑造现代化水韵湖城</w:t>
      </w:r>
      <w:bookmarkEnd w:id="99"/>
    </w:p>
    <w:p w14:paraId="61B51A09">
      <w:pPr>
        <w:pStyle w:val="29"/>
        <w:spacing w:after="0" w:line="560" w:lineRule="exact"/>
        <w:rPr>
          <w:rFonts w:ascii="Times New Roman" w:hAnsi="Times New Roman" w:cs="Times New Roman"/>
        </w:rPr>
      </w:pPr>
      <w:bookmarkStart w:id="100" w:name="_Toc214978102"/>
      <w:bookmarkStart w:id="101" w:name="_Toc218695860"/>
      <w:bookmarkStart w:id="102" w:name="_Toc213057391"/>
      <w:bookmarkStart w:id="103" w:name="_Toc2085859318"/>
      <w:bookmarkStart w:id="104" w:name="_Toc1904026330"/>
      <w:bookmarkStart w:id="105" w:name="_Toc213057405"/>
    </w:p>
    <w:p w14:paraId="5ED60271">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第九章  深入实施以人为本的新型城镇化战略</w:t>
      </w:r>
      <w:bookmarkEnd w:id="100"/>
      <w:bookmarkEnd w:id="101"/>
    </w:p>
    <w:p w14:paraId="5328A103">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调动和发挥好人的积极性、主动性、创造性，稳步提高城镇化质量和水平，充分释放新型城镇化蕴藏的巨大内需潜力，建设创新、宜居、美丽、韧性、文明、智慧的现代化人民城市。到2030年，常住人口城镇化率达到65%。</w:t>
      </w:r>
    </w:p>
    <w:p w14:paraId="58B5C283">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06" w:name="_Toc218695861"/>
      <w:r>
        <w:rPr>
          <w:rFonts w:ascii="Times New Roman" w:hAnsi="Times New Roman" w:eastAsia="方正楷体_GBK" w:cs="Times New Roman"/>
          <w:color w:val="000000" w:themeColor="text1"/>
          <w:kern w:val="0"/>
          <w:sz w:val="32"/>
          <w:szCs w:val="32"/>
          <w14:textFill>
            <w14:solidFill>
              <w14:schemeClr w14:val="tx1"/>
            </w14:solidFill>
          </w14:textFill>
        </w:rPr>
        <w:t>第一节  推进城区高品质发展</w:t>
      </w:r>
      <w:bookmarkEnd w:id="106"/>
    </w:p>
    <w:p w14:paraId="4FF3EDEF">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持续提升城区功能品质。</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优化城区基础设施布局、结构、功能，</w:t>
      </w:r>
      <w:r>
        <w:rPr>
          <w:rFonts w:ascii="Times New Roman" w:hAnsi="Times New Roman" w:eastAsia="方正仿宋_GBK" w:cs="Times New Roman"/>
          <w:color w:val="000000" w:themeColor="text1"/>
          <w:kern w:val="0"/>
          <w:sz w:val="32"/>
          <w:szCs w:val="32"/>
          <w14:textFill>
            <w14:solidFill>
              <w14:schemeClr w14:val="tx1"/>
            </w14:solidFill>
          </w14:textFill>
        </w:rPr>
        <w:t>加快市政基础设施更</w:t>
      </w:r>
      <w:r>
        <w:rPr>
          <w:rFonts w:ascii="Times New Roman" w:hAnsi="Times New Roman" w:eastAsia="方正仿宋_GBK" w:cs="Times New Roman"/>
          <w:color w:val="000000" w:themeColor="text1"/>
          <w:sz w:val="32"/>
          <w:szCs w:val="32"/>
          <w14:textFill>
            <w14:solidFill>
              <w14:schemeClr w14:val="tx1"/>
            </w14:solidFill>
          </w14:textFill>
        </w:rPr>
        <w:t>新改造、嵌入式服务设施建设，加强系统集成。持续推进老旧小区改造、背街小巷整治、公共空间优化，制定“一区一策”整治方案，将2001至2005年间建成的住宅小区纳入改造规划。实施住宅工程品质提升行动，推动建设安全、舒适、绿色、智慧的“好房子”。实施物业质量提升行动，推动协商共建常态化和业主自治规范化，</w:t>
      </w:r>
      <w:r>
        <w:rPr>
          <w:rFonts w:hint="eastAsia" w:ascii="Times New Roman" w:hAnsi="Times New Roman" w:eastAsia="方正仿宋_GBK" w:cs="Times New Roman"/>
          <w:color w:val="000000" w:themeColor="text1"/>
          <w:sz w:val="32"/>
          <w:szCs w:val="32"/>
          <w14:textFill>
            <w14:solidFill>
              <w14:schemeClr w14:val="tx1"/>
            </w14:solidFill>
          </w14:textFill>
        </w:rPr>
        <w:t>拓展智慧物业应用场景。</w:t>
      </w:r>
      <w:r>
        <w:rPr>
          <w:rFonts w:ascii="Times New Roman" w:hAnsi="Times New Roman" w:eastAsia="方正仿宋_GBK" w:cs="Times New Roman"/>
          <w:color w:val="000000" w:themeColor="text1"/>
          <w:sz w:val="32"/>
          <w:szCs w:val="32"/>
          <w14:textFill>
            <w14:solidFill>
              <w14:schemeClr w14:val="tx1"/>
            </w14:solidFill>
          </w14:textFill>
        </w:rPr>
        <w:t>持续做好道路、路灯、地下管网等设施日常养护，加快停车设施建设，持续落实停车共享政策措施，加快构建新能源汽车充电基础设施网络体系。到2030年，新增公共停车泊位1500个以上，建成新能源汽车充电场站20座、交直流充电桩100台以上。合理布局“平急两用”公共基础设施，完善无障碍设施。推进公共交通优先发展，推动综合客运枢纽多种运输方</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式集中布局，打造全天候、一体化换乘环境。</w:t>
      </w:r>
    </w:p>
    <w:p w14:paraId="5BFBDB90">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改善城区宜居生态。</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因地制宜建设口</w:t>
      </w:r>
      <w:r>
        <w:rPr>
          <w:rFonts w:ascii="Times New Roman" w:hAnsi="Times New Roman" w:eastAsia="方正仿宋_GBK" w:cs="Times New Roman"/>
          <w:color w:val="000000" w:themeColor="text1"/>
          <w:sz w:val="32"/>
          <w:szCs w:val="32"/>
          <w14:textFill>
            <w14:solidFill>
              <w14:schemeClr w14:val="tx1"/>
            </w14:solidFill>
          </w14:textFill>
        </w:rPr>
        <w:t>袋公园、社区公园和城市绿道，推进立体绿化，推动金角银边等小微公共空间改造。推进城区起点公园、金泽园、政府广场、家和广场、</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双拥广场、盛世豪庭广场等公园广场整治改造，嵌入式增加体育健身、儿童游乐、适老助残等公共服务设施，全面提升公园广场安全水平和服务功能。实施淮河西路南侧、徐梁花园北侧、金荷路南段等地块绿化工程，提升城市绿色空间品质。</w:t>
      </w:r>
    </w:p>
    <w:p w14:paraId="6823192C">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提升城区治理能力。</w:t>
      </w:r>
      <w:r>
        <w:rPr>
          <w:rFonts w:ascii="Times New Roman" w:hAnsi="Times New Roman" w:eastAsia="方正仿宋_GBK" w:cs="Times New Roman"/>
          <w:color w:val="000000" w:themeColor="text1"/>
          <w:sz w:val="32"/>
          <w:szCs w:val="32"/>
          <w14:textFill>
            <w14:solidFill>
              <w14:schemeClr w14:val="tx1"/>
            </w14:solidFill>
          </w14:textFill>
        </w:rPr>
        <w:t>推动城市基础设施数字化转型，对城市供水、排水、供电、供热、燃气、消防等市政基础设施进行数字化改造升级和智能化运维管理，布设智慧安全监测设备。重点治理背街小巷、农贸市场周边等区域的环境卫生和公共秩序。优化城市保洁作业模式，依据路段情况划分等级，实行差异化保洁，完善收集点布局，确保生活垃圾日产日清。持续规范城市管理综合执法行为，运用城市运行管理服务平台实时处置问题</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，畅通交流渠道，鼓励群众参与，形成共治共管共享格局。</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2C2A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589A279">
            <w:pPr>
              <w:tabs>
                <w:tab w:val="right" w:pos="8205"/>
              </w:tabs>
              <w:spacing w:line="400" w:lineRule="exact"/>
              <w:jc w:val="center"/>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28"/>
                <w:szCs w:val="28"/>
                <w14:textFill>
                  <w14:solidFill>
                    <w14:schemeClr w14:val="tx1"/>
                  </w14:solidFill>
                </w14:textFill>
              </w:rPr>
              <w:t>专栏5：“十五五”时期新型城镇化重点工程项目</w:t>
            </w:r>
          </w:p>
        </w:tc>
      </w:tr>
      <w:tr w14:paraId="3490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tcPr>
          <w:p w14:paraId="0144D133">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基础设施建设及改造项目：</w:t>
            </w:r>
            <w:r>
              <w:rPr>
                <w:rFonts w:hint="eastAsia" w:ascii="方正仿宋_GBK" w:hAnsi="方正仿宋_GBK" w:eastAsia="方正仿宋_GBK" w:cs="Times New Roman"/>
                <w:color w:val="000000" w:themeColor="text1"/>
                <w:sz w:val="28"/>
                <w:szCs w:val="28"/>
                <w14:textFill>
                  <w14:solidFill>
                    <w14:schemeClr w14:val="tx1"/>
                  </w14:solidFill>
                </w14:textFill>
              </w:rPr>
              <w:t>包括</w:t>
            </w:r>
            <w:r>
              <w:rPr>
                <w:rFonts w:ascii="Times New Roman" w:hAnsi="Times New Roman" w:eastAsia="方正仿宋_GBK" w:cs="Times New Roman"/>
                <w:color w:val="000000" w:themeColor="text1"/>
                <w:sz w:val="28"/>
                <w:szCs w:val="28"/>
                <w14:textFill>
                  <w14:solidFill>
                    <w14:schemeClr w14:val="tx1"/>
                  </w14:solidFill>
                </w14:textFill>
              </w:rPr>
              <w:t>截污设施溯源改造及开发区污水分质工程、污水处理提质增效达标区建设二期、城市防洪排涝能力提升工程、城区易涝点排水防涝治理工程、宁淮路以西、官东路以东和官东路以西排涝片区排涝治理工程、老城区片区排涝治理工程、宁淮大道西边沟及配套工程、市政老旧供水管网更新改造、市政供水管道改造工程、再生水水质提升和管网建设工程、各镇供水设施提升改造项目、城区雨水管涵及闸站改造工程、城镇燃气改造提升项目、乡镇雨污分流提质增效项目、戴楼水厂、备用水源地、城南增压站、化验室基础设施提升改造、城乡供排水研发检测中心建设项目、城乡供排水水质安全监测项目、开发区基础设施配套综合建设工程、开发区双楼路周边水系调整工程、开发区防洪排涝建筑物工程、城乡供水一体化建设工程、农村供水保障工程</w:t>
            </w:r>
            <w:r>
              <w:rPr>
                <w:rFonts w:hint="eastAsia" w:ascii="Times New Roman" w:hAnsi="Times New Roman" w:eastAsia="方正仿宋_GBK" w:cs="Times New Roman"/>
                <w:color w:val="000000" w:themeColor="text1"/>
                <w:sz w:val="28"/>
                <w:szCs w:val="28"/>
                <w14:textFill>
                  <w14:solidFill>
                    <w14:schemeClr w14:val="tx1"/>
                  </w14:solidFill>
                </w14:textFill>
              </w:rPr>
              <w:t>等</w:t>
            </w:r>
            <w:r>
              <w:rPr>
                <w:rFonts w:ascii="Times New Roman" w:hAnsi="Times New Roman" w:eastAsia="方正仿宋_GBK" w:cs="Times New Roman"/>
                <w:color w:val="000000" w:themeColor="text1"/>
                <w:sz w:val="28"/>
                <w:szCs w:val="28"/>
                <w14:textFill>
                  <w14:solidFill>
                    <w14:schemeClr w14:val="tx1"/>
                  </w14:solidFill>
                </w14:textFill>
              </w:rPr>
              <w:t>。</w:t>
            </w:r>
          </w:p>
          <w:p w14:paraId="481A508B">
            <w:pPr>
              <w:tabs>
                <w:tab w:val="right" w:pos="8205"/>
              </w:tabs>
              <w:spacing w:line="40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城市更新项目：</w:t>
            </w:r>
            <w:r>
              <w:rPr>
                <w:rFonts w:hint="eastAsia" w:ascii="方正仿宋_GBK" w:hAnsi="方正仿宋_GBK" w:eastAsia="方正仿宋_GBK" w:cs="Times New Roman"/>
                <w:color w:val="000000" w:themeColor="text1"/>
                <w:sz w:val="28"/>
                <w:szCs w:val="28"/>
                <w14:textFill>
                  <w14:solidFill>
                    <w14:schemeClr w14:val="tx1"/>
                  </w14:solidFill>
                </w14:textFill>
              </w:rPr>
              <w:t>包括</w:t>
            </w:r>
            <w:r>
              <w:rPr>
                <w:rFonts w:ascii="Times New Roman" w:hAnsi="Times New Roman" w:eastAsia="方正仿宋_GBK" w:cs="Times New Roman"/>
                <w:color w:val="000000" w:themeColor="text1"/>
                <w:sz w:val="28"/>
                <w:szCs w:val="28"/>
                <w14:textFill>
                  <w14:solidFill>
                    <w14:schemeClr w14:val="tx1"/>
                  </w14:solidFill>
                </w14:textFill>
              </w:rPr>
              <w:t>智慧金湖云启数字港项目、城东智慧云仓项目、空地协同城市综合治理项目、电动汽车充电桩项目、黎城老街改造及产业融合项目、老城区城市更新项目、城区老旧综合服务楼有机更新项目、县域广告牌一体化经营项目、人防工程设施设备更新项目、城东汽车电车一体化检维中心项目、全县停车ETC无感支付项目、城北交通综合服务一体化示范项目、驾培中心科目三场地及驾驶技能模拟训练场升级改造项目、车辆和船舶智能一体化管理中心项目、城东物流园停车场光储充放微电网示范站项目、县域充换电设施补短板试点项目、老旧小区电动自行车充电设施建设项目、国控产城融合项目</w:t>
            </w:r>
            <w:r>
              <w:rPr>
                <w:rFonts w:hint="eastAsia" w:ascii="Times New Roman" w:hAnsi="Times New Roman" w:eastAsia="方正仿宋_GBK" w:cs="Times New Roman"/>
                <w:color w:val="000000" w:themeColor="text1"/>
                <w:sz w:val="28"/>
                <w:szCs w:val="28"/>
                <w14:textFill>
                  <w14:solidFill>
                    <w14:schemeClr w14:val="tx1"/>
                  </w14:solidFill>
                </w14:textFill>
              </w:rPr>
              <w:t>等</w:t>
            </w:r>
            <w:r>
              <w:rPr>
                <w:rFonts w:ascii="Times New Roman" w:hAnsi="Times New Roman" w:eastAsia="方正仿宋_GBK" w:cs="Times New Roman"/>
                <w:color w:val="000000" w:themeColor="text1"/>
                <w:sz w:val="28"/>
                <w:szCs w:val="28"/>
                <w14:textFill>
                  <w14:solidFill>
                    <w14:schemeClr w14:val="tx1"/>
                  </w14:solidFill>
                </w14:textFill>
              </w:rPr>
              <w:t>。</w:t>
            </w:r>
          </w:p>
        </w:tc>
      </w:tr>
    </w:tbl>
    <w:p w14:paraId="2E813649">
      <w:pPr>
        <w:keepNext/>
        <w:widowControl/>
        <w:spacing w:before="156" w:beforeLines="50" w:after="156" w:afterLines="50" w:line="587"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07" w:name="_Toc218695862"/>
      <w:r>
        <w:rPr>
          <w:rFonts w:ascii="Times New Roman" w:hAnsi="Times New Roman" w:eastAsia="方正楷体_GBK" w:cs="Times New Roman"/>
          <w:color w:val="000000" w:themeColor="text1"/>
          <w:kern w:val="0"/>
          <w:sz w:val="32"/>
          <w:szCs w:val="32"/>
          <w14:textFill>
            <w14:solidFill>
              <w14:schemeClr w14:val="tx1"/>
            </w14:solidFill>
          </w14:textFill>
        </w:rPr>
        <w:t>第二节  提升县域城镇化水平</w:t>
      </w:r>
      <w:bookmarkEnd w:id="107"/>
    </w:p>
    <w:p w14:paraId="2E0C680F">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推动小城镇“精明增长”。</w:t>
      </w:r>
      <w:r>
        <w:rPr>
          <w:rFonts w:ascii="Times New Roman" w:hAnsi="Times New Roman" w:eastAsia="方正仿宋_GBK" w:cs="Times New Roman"/>
          <w:color w:val="000000" w:themeColor="text1"/>
          <w:kern w:val="0"/>
          <w:sz w:val="32"/>
          <w:szCs w:val="32"/>
          <w14:textFill>
            <w14:solidFill>
              <w14:schemeClr w14:val="tx1"/>
            </w14:solidFill>
          </w14:textFill>
        </w:rPr>
        <w:t>强化城镇联城带村功能，实施现代化美丽宜居小城镇建设行动，提升小城镇基础设施、公共服务和人居环境水平，引导农村人口就近向小城镇集聚。推动银涂重点中心镇深入打造产城融合、宜居宜业的现代新型小城市，优化金南、塔集、前锋、吕良等一般镇服务产业发展和基层社会治理功能。鼓励发展设施农业、特色工业、乡村旅游等“小而美”的经济业态，打造一批城乡融合示范项目、镇域综合改革试验项目，形成格局更加鲜明的城镇发展特色。</w:t>
      </w:r>
    </w:p>
    <w:p w14:paraId="2D00E39D">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推进城镇公共资源向乡村覆盖。</w:t>
      </w:r>
      <w:r>
        <w:rPr>
          <w:rFonts w:ascii="Times New Roman" w:hAnsi="Times New Roman" w:eastAsia="方正仿宋_GBK" w:cs="Times New Roman"/>
          <w:color w:val="000000" w:themeColor="text1"/>
          <w:sz w:val="32"/>
          <w:szCs w:val="32"/>
          <w14:textFill>
            <w14:solidFill>
              <w14:schemeClr w14:val="tx1"/>
            </w14:solidFill>
          </w14:textFill>
        </w:rPr>
        <w:t>围绕提升乡村基本公共服务均等化水平，建立与常住人口变化相协调的基本公共服务供给机制，因地制宜在镇街配置覆盖农村的教育、医疗、养老服务机构、服务力量。统筹配置城乡义务教育资源，优化城乡教育集团化和农村片区化办学模式。优化城乡医疗卫生资源布局，建设紧密型县域医共体，提升基层医疗卫生机构服务能力。发展乡村普惠型养老服务和互助性养老，改造提升农村区域性养老服务中心。</w:t>
      </w:r>
    </w:p>
    <w:p w14:paraId="1628C18C">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推进城镇基础设施向乡村延伸。</w:t>
      </w:r>
      <w:r>
        <w:rPr>
          <w:rFonts w:ascii="Times New Roman" w:hAnsi="Times New Roman" w:eastAsia="方正仿宋_GBK" w:cs="Times New Roman"/>
          <w:color w:val="000000" w:themeColor="text1"/>
          <w:sz w:val="32"/>
          <w:szCs w:val="32"/>
          <w14:textFill>
            <w14:solidFill>
              <w14:schemeClr w14:val="tx1"/>
            </w14:solidFill>
          </w14:textFill>
        </w:rPr>
        <w:t>统筹规划乡村公共设施板块，实施城区雨水管涵及闸站改造工程、乡镇雨污分流提质增效项目等一批城镇供排水项目。</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到2030年，新建雨污分流达标区7个，城镇生活污水集中处理率达93%。</w:t>
      </w:r>
      <w:r>
        <w:rPr>
          <w:rFonts w:ascii="Times New Roman" w:hAnsi="Times New Roman" w:eastAsia="方正仿宋_GBK" w:cs="Times New Roman"/>
          <w:color w:val="000000" w:themeColor="text1"/>
          <w:sz w:val="32"/>
          <w:szCs w:val="32"/>
          <w14:textFill>
            <w14:solidFill>
              <w14:schemeClr w14:val="tx1"/>
            </w14:solidFill>
          </w14:textFill>
        </w:rPr>
        <w:t>建立“双源互补、东西联动、两厂两片、互连互通”的供水格局，实施小型引调水工程。全面推进“四好农村路”建设，加快完善村到组、组到户交通网络，宜居宜业和美乡村培育区域基本实现进村到户硬化道路通达。持续推进改善农村住房条件，结合城区、镇街实际进一步优化存量房消化，保持农村低收入群体危房动态清零。提升乡村物流配送服务，稳定运营乡镇客运站邮政快递服务。</w:t>
      </w:r>
    </w:p>
    <w:p w14:paraId="3495E496">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提升农业转移人口市民化质量。</w:t>
      </w:r>
      <w:r>
        <w:rPr>
          <w:rFonts w:ascii="Times New Roman" w:hAnsi="Times New Roman" w:eastAsia="方正仿宋_GBK" w:cs="Times New Roman"/>
          <w:color w:val="000000" w:themeColor="text1"/>
          <w:kern w:val="0"/>
          <w:sz w:val="32"/>
          <w:szCs w:val="32"/>
          <w14:textFill>
            <w14:solidFill>
              <w14:schemeClr w14:val="tx1"/>
            </w14:solidFill>
          </w14:textFill>
        </w:rPr>
        <w:t>实施农业转移人口市民化提升行动，</w:t>
      </w:r>
      <w:r>
        <w:rPr>
          <w:rFonts w:ascii="Times New Roman" w:hAnsi="Times New Roman" w:eastAsia="方正仿宋_GBK" w:cs="Times New Roman"/>
          <w:color w:val="000000" w:themeColor="text1"/>
          <w:sz w:val="32"/>
          <w:szCs w:val="32"/>
          <w14:textFill>
            <w14:solidFill>
              <w14:schemeClr w14:val="tx1"/>
            </w14:solidFill>
          </w14:textFill>
        </w:rPr>
        <w:t>促进有能力在城镇稳定就业和生活的农业转移人口举家进城落户。</w:t>
      </w:r>
      <w:r>
        <w:rPr>
          <w:rFonts w:ascii="Times New Roman" w:hAnsi="Times New Roman" w:eastAsia="方正仿宋_GBK" w:cs="Times New Roman"/>
          <w:color w:val="000000" w:themeColor="text1"/>
          <w:kern w:val="0"/>
          <w:sz w:val="32"/>
          <w:szCs w:val="32"/>
          <w14:textFill>
            <w14:solidFill>
              <w14:schemeClr w14:val="tx1"/>
            </w14:solidFill>
          </w14:textFill>
        </w:rPr>
        <w:t>推动城镇基本公共服务覆盖全部常住人口，</w:t>
      </w:r>
      <w:r>
        <w:rPr>
          <w:rFonts w:ascii="Times New Roman" w:hAnsi="Times New Roman" w:eastAsia="方正仿宋_GBK" w:cs="Times New Roman"/>
          <w:color w:val="000000" w:themeColor="text1"/>
          <w:sz w:val="32"/>
          <w:szCs w:val="32"/>
          <w14:textFill>
            <w14:solidFill>
              <w14:schemeClr w14:val="tx1"/>
            </w14:solidFill>
          </w14:textFill>
        </w:rPr>
        <w:t>实现在城镇就业的农业转移人口社保应缴尽缴，将符合条件的被征地农民纳入相应基本社会保障体系。稳定土地承包关系，2028年底前基本完成农村土地二轮承包到期后再延长三十年试点。切实保障进城落户农民合法土地权益，以“数据确权”“证件确权”等方式探索农村户籍与“三权”分离，建立自愿有偿退出路径。鼓励进城落户农民依法将承包地的土地经营权和合法拥有的住房通过出租、入股、合作等方式盘活利用，增加财产性收入。</w:t>
      </w:r>
    </w:p>
    <w:tbl>
      <w:tblPr>
        <w:tblStyle w:val="31"/>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46B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1" w:type="dxa"/>
            <w:vAlign w:val="center"/>
          </w:tcPr>
          <w:p w14:paraId="756F2854">
            <w:pPr>
              <w:keepNext/>
              <w:adjustRightInd w:val="0"/>
              <w:snapToGrid w:val="0"/>
              <w:spacing w:line="240" w:lineRule="atLeast"/>
              <w:jc w:val="center"/>
              <w:rPr>
                <w:rFonts w:ascii="Times New Roman" w:hAnsi="Times New Roman" w:eastAsia="方正黑体_GBK" w:cs="Times New Roman"/>
                <w:color w:val="000000" w:themeColor="text1"/>
                <w:kern w:val="0"/>
                <w:sz w:val="28"/>
                <w:szCs w:val="28"/>
                <w14:textFill>
                  <w14:solidFill>
                    <w14:schemeClr w14:val="tx1"/>
                  </w14:solidFill>
                </w14:textFill>
              </w:rPr>
            </w:pPr>
            <w:r>
              <w:rPr>
                <w:rFonts w:ascii="Times New Roman" w:hAnsi="Times New Roman" w:eastAsia="方正黑体_GBK" w:cs="Times New Roman"/>
                <w:color w:val="000000" w:themeColor="text1"/>
                <w:kern w:val="0"/>
                <w:sz w:val="28"/>
                <w:szCs w:val="28"/>
                <w14:textFill>
                  <w14:solidFill>
                    <w14:schemeClr w14:val="tx1"/>
                  </w14:solidFill>
                </w14:textFill>
              </w:rPr>
              <w:t>专栏6：</w:t>
            </w:r>
            <w:r>
              <w:rPr>
                <w:rFonts w:ascii="Times New Roman" w:hAnsi="Times New Roman" w:eastAsia="方正黑体_GBK" w:cs="Times New Roman"/>
                <w:color w:val="000000" w:themeColor="text1"/>
                <w:sz w:val="28"/>
                <w:szCs w:val="28"/>
                <w14:textFill>
                  <w14:solidFill>
                    <w14:schemeClr w14:val="tx1"/>
                  </w14:solidFill>
                </w14:textFill>
              </w:rPr>
              <w:t>“十五五”</w:t>
            </w:r>
            <w:r>
              <w:rPr>
                <w:rFonts w:ascii="Times New Roman" w:hAnsi="Times New Roman" w:eastAsia="方正黑体_GBK" w:cs="Times New Roman"/>
                <w:color w:val="000000" w:themeColor="text1"/>
                <w:kern w:val="0"/>
                <w:sz w:val="28"/>
                <w:szCs w:val="28"/>
                <w14:textFill>
                  <w14:solidFill>
                    <w14:schemeClr w14:val="tx1"/>
                  </w14:solidFill>
                </w14:textFill>
              </w:rPr>
              <w:t>各镇街规划发展布局</w:t>
            </w:r>
          </w:p>
        </w:tc>
      </w:tr>
      <w:tr w14:paraId="70B5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9071" w:type="dxa"/>
            <w:vAlign w:val="center"/>
          </w:tcPr>
          <w:p w14:paraId="5B4CF8C3">
            <w:pPr>
              <w:adjustRightInd w:val="0"/>
              <w:snapToGrid w:val="0"/>
              <w:spacing w:line="36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黎城街道：</w:t>
            </w:r>
            <w:r>
              <w:rPr>
                <w:rFonts w:ascii="Times New Roman" w:hAnsi="Times New Roman" w:eastAsia="方正仿宋_GBK" w:cs="Times New Roman"/>
                <w:color w:val="000000" w:themeColor="text1"/>
                <w:sz w:val="28"/>
                <w:szCs w:val="28"/>
                <w:lang w:bidi="ar"/>
                <w14:textFill>
                  <w14:solidFill>
                    <w14:schemeClr w14:val="tx1"/>
                  </w14:solidFill>
                </w14:textFill>
              </w:rPr>
              <w:t>以建设“现代化和美新黎城”为抓手，着力构建“产学融合、惠及民生、产业升级”的“三区”发展新格局。城东产学融合“样板区”：以职业中专建设为契机，与金湖二中、育才小学形成教育集聚效应，增加人口，提升素质，逐步优化大兴工业园区、建材市场、农机市场、石材市场、水产品批发市场的配套设施，让居民</w:t>
            </w:r>
            <w:r>
              <w:rPr>
                <w:rFonts w:hint="eastAsia" w:ascii="Times New Roman" w:hAnsi="Times New Roman" w:eastAsia="方正仿宋_GBK" w:cs="Times New Roman"/>
                <w:color w:val="000000" w:themeColor="text1"/>
                <w:sz w:val="28"/>
                <w:szCs w:val="28"/>
                <w:lang w:bidi="ar"/>
                <w14:textFill>
                  <w14:solidFill>
                    <w14:schemeClr w14:val="tx1"/>
                  </w14:solidFill>
                </w14:textFill>
              </w:rPr>
              <w:t>在</w:t>
            </w:r>
            <w:r>
              <w:rPr>
                <w:rFonts w:ascii="Times New Roman" w:hAnsi="Times New Roman" w:eastAsia="方正仿宋_GBK" w:cs="Times New Roman"/>
                <w:color w:val="000000" w:themeColor="text1"/>
                <w:sz w:val="28"/>
                <w:szCs w:val="28"/>
                <w:lang w:bidi="ar"/>
                <w14:textFill>
                  <w14:solidFill>
                    <w14:schemeClr w14:val="tx1"/>
                  </w14:solidFill>
                </w14:textFill>
              </w:rPr>
              <w:t>家门口就业。城南民生福祉“示范区”：以任庄村为轴心，规划建设服务周边居民的生活超市、农贸菜场、体育健身、养老托幼、红白事办理场所等基础设施，发展都市农业，让居民在家门口观光、休闲，提升生活品质。城西产业集聚“引领区”：以徐梁科技创业园为辐射，统筹升级黎城工业一区、二区和工农创业点，带动高端装备、大健康、新材料等优质企业、优质产业向城西集聚，增强为县经济开发区产业的配套功能，让居民共享高质量发展成果。</w:t>
            </w:r>
          </w:p>
          <w:p w14:paraId="32F02D01">
            <w:pPr>
              <w:adjustRightInd w:val="0"/>
              <w:snapToGrid w:val="0"/>
              <w:spacing w:line="36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戴楼街道：</w:t>
            </w:r>
            <w:r>
              <w:rPr>
                <w:rFonts w:ascii="Times New Roman" w:hAnsi="Times New Roman" w:eastAsia="方正仿宋_GBK" w:cs="Times New Roman"/>
                <w:color w:val="000000" w:themeColor="text1"/>
                <w:sz w:val="28"/>
                <w:szCs w:val="28"/>
                <w:lang w:bidi="ar"/>
                <w14:textFill>
                  <w14:solidFill>
                    <w14:schemeClr w14:val="tx1"/>
                  </w14:solidFill>
                </w14:textFill>
              </w:rPr>
              <w:t>立足高铁枢纽优势，放大区域交通网络关键节点功能，全力打造成为“苏北新型材料聚集区、淮安乡村振兴先导区、金湖产城融合样本区”，加快建成“戴楼集镇+官塘老集镇”综合服务平台，形成服务辖区、辐射开发区、接轨主城区的生动格局。充分利用市级产业配套中心招牌，推动形成以高端装备铸件制造产业为主，资源循环利用产业为辅的循环经济产业集群。聚焦绿色食品产业链，全力发展都市生态农业，打造现代农业融合示范区，助推乡村振兴取得突破性进展。以治理体系与能力现代化为导向，实现“枫桥式”综治中心、数字乡村治理平台等全覆盖。</w:t>
            </w:r>
          </w:p>
          <w:p w14:paraId="42FB42E0">
            <w:pPr>
              <w:adjustRightInd w:val="0"/>
              <w:snapToGrid w:val="0"/>
              <w:spacing w:line="36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金北街道：</w:t>
            </w:r>
            <w:r>
              <w:rPr>
                <w:rFonts w:ascii="Times New Roman" w:hAnsi="Times New Roman" w:eastAsia="方正仿宋_GBK" w:cs="Times New Roman"/>
                <w:color w:val="000000" w:themeColor="text1"/>
                <w:sz w:val="28"/>
                <w:szCs w:val="28"/>
                <w:lang w:bidi="ar"/>
                <w14:textFill>
                  <w14:solidFill>
                    <w14:schemeClr w14:val="tx1"/>
                  </w14:solidFill>
                </w14:textFill>
              </w:rPr>
              <w:t>构建“一心引领、两翼联动、三区协同”的发展格局，以街道综合服务核心为引领，增强集聚与辐射功能，依托东西两翼产业与生态资源，实现联动发展，统筹现代农业示范区、绿色生态居住区和特色文旅体验区三大功能板块，促进产城融合、城乡协同。发挥通用机场枢纽优势，布局建设低空经济产业园，助力低空和通航产业发展。推动绿色稻米示范区与现代渔业示范区深度融合，打造高效绿色生态种养基地，持续培育绿色农产品品牌。巩固提升“庭院深深”“红石榴家园”等初具影响力的文化品牌，规划设计农文旅体验基地，探索观光农园，着力推进乡村旅游、观光农业、特色农庄培育。</w:t>
            </w:r>
          </w:p>
          <w:p w14:paraId="3C41581A">
            <w:pPr>
              <w:adjustRightInd w:val="0"/>
              <w:snapToGrid w:val="0"/>
              <w:spacing w:line="36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金南镇：</w:t>
            </w:r>
            <w:r>
              <w:rPr>
                <w:rFonts w:ascii="Times New Roman" w:hAnsi="Times New Roman" w:eastAsia="方正仿宋_GBK" w:cs="Times New Roman"/>
                <w:color w:val="000000" w:themeColor="text1"/>
                <w:sz w:val="28"/>
                <w:szCs w:val="28"/>
                <w:lang w:bidi="ar"/>
                <w14:textFill>
                  <w14:solidFill>
                    <w14:schemeClr w14:val="tx1"/>
                  </w14:solidFill>
                </w14:textFill>
              </w:rPr>
              <w:t>聚焦新型工业化、新型城镇化、农业现代化、旅游产业化“四化融合”发展，全力打造乡村振兴“示范镇”，构建“一核、一轴、一带、两区、多节点”的空间格局。以镇区综合服务为核心，打造多产业集聚区；以金卞路为城镇联动发展轴，向北连接县城、融入城区，向东协同发展全域旅游；以淮河入江水道、高邮湖为滨水生态文旅风光带，融合红色文旅、绿色农业、生态休闲等乡村业态一体发展；以轴、带划分布局现代农业发展区、滨湖生态休闲区，打造金沟、卞塘等生活、旅游服务节点，形成点面结合的新型乡镇面貌。</w:t>
            </w:r>
          </w:p>
          <w:p w14:paraId="31DDB749">
            <w:pPr>
              <w:adjustRightInd w:val="0"/>
              <w:snapToGrid w:val="0"/>
              <w:spacing w:line="36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塔集镇：</w:t>
            </w:r>
            <w:r>
              <w:rPr>
                <w:rFonts w:ascii="Times New Roman" w:hAnsi="Times New Roman" w:eastAsia="方正仿宋_GBK" w:cs="Times New Roman"/>
                <w:color w:val="000000" w:themeColor="text1"/>
                <w:sz w:val="28"/>
                <w:szCs w:val="28"/>
                <w:lang w:bidi="ar"/>
                <w14:textFill>
                  <w14:solidFill>
                    <w14:schemeClr w14:val="tx1"/>
                  </w14:solidFill>
                </w14:textFill>
              </w:rPr>
              <w:t>构建“一环一廊三区”融合发展总体布局，一环：依托环湖绿道打造生态休闲环线，一廊：依托荷花大道形成尧风荷韵发展廊，三区：依托荷花荡景区、荷韵小镇等形成荷韵休闲度假区，依托尧想国文旅区、高邮抗日民主政府旧址、黄庄等形成尧乡文化体验区，依托荷藕产业形成高效农业示范区。围绕塔集四个集镇建设，形成“闵桥行政综合服务区、塔集上古尧文化体验区、横桥荷文化旅游度假区、夹沟水产品批发区”发展格局，将塔集镇全面建设成独具尧风荷韵的全国乡村旅游重点镇、全国荷藕产业强镇。</w:t>
            </w:r>
          </w:p>
          <w:p w14:paraId="21CD3D32">
            <w:pPr>
              <w:adjustRightInd w:val="0"/>
              <w:snapToGrid w:val="0"/>
              <w:spacing w:line="360" w:lineRule="exact"/>
              <w:ind w:firstLine="560" w:firstLineChars="200"/>
              <w:rPr>
                <w:rFonts w:ascii="Times New Roman" w:hAnsi="Times New Roman" w:eastAsia="方正楷体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银涂镇：</w:t>
            </w:r>
            <w:r>
              <w:rPr>
                <w:rFonts w:ascii="Times New Roman" w:hAnsi="Times New Roman" w:eastAsia="方正仿宋_GBK" w:cs="Times New Roman"/>
                <w:color w:val="000000" w:themeColor="text1"/>
                <w:sz w:val="28"/>
                <w:szCs w:val="28"/>
                <w:lang w:bidi="ar"/>
                <w14:textFill>
                  <w14:solidFill>
                    <w14:schemeClr w14:val="tx1"/>
                  </w14:solidFill>
                </w14:textFill>
              </w:rPr>
              <w:t>大力实施“东园西城、产城融合”新型城镇化战略，构建“一园两片四区、两廊四轴”发展格局。一园：以银涂工业园为主体，打造低碳、科技新型园区，两片：做强淮建循环铝业、唐港精品铸造两大经济增长片区，四区：布局生态渔业区、现代农业区、综合服务区、文旅体验区四大功能板块，两廊：黄金发展廊道串联三河、金宝航道，生态景观廊道串联金湖绿道入江水道、高邮湖、十里果林、水上森林，四轴：金宝南线、331省道、盐蚌高速、荷花大道四条主轴路网。锚定“升级、开放、创新、绿色、优服”五大方向，创新和实践“农渔相兼、工农并举、产城融合”发展新路径，以“巩固发达镇、瞄准特大镇”为总目标，以实现新“双百”（GDP和工业应税开票均超百亿）为抓手，力争基本实现产业发展、园区能级、科技创新、乡村振兴、民生福祉全方位现代化。</w:t>
            </w:r>
          </w:p>
          <w:p w14:paraId="59B15A30">
            <w:pPr>
              <w:adjustRightInd w:val="0"/>
              <w:snapToGrid w:val="0"/>
              <w:spacing w:line="36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前锋镇：</w:t>
            </w:r>
            <w:r>
              <w:rPr>
                <w:rFonts w:ascii="Times New Roman" w:hAnsi="Times New Roman" w:eastAsia="方正仿宋_GBK" w:cs="Times New Roman"/>
                <w:color w:val="000000" w:themeColor="text1"/>
                <w:sz w:val="28"/>
                <w:szCs w:val="28"/>
                <w:lang w:bidi="ar"/>
                <w14:textFill>
                  <w14:solidFill>
                    <w14:schemeClr w14:val="tx1"/>
                  </w14:solidFill>
                </w14:textFill>
              </w:rPr>
              <w:t>致力以“生态为基、产业为核、文旅为翼”的融合发展为主线，聚力做优高效生态科技农业、做强煤矿机械智造产业、做靓白马湖湿地文旅品牌，全力构成一个产景交融、宜居宜业的绿色低碳示范小镇。重点实施“两轴联三心、两翼齐飞”总体空间战略，即以331及420省道为联动发展轴，有效串联并激活镇域政务综合服务、淮胜产业集聚、白马湖片区美丽乡村示范三大核心功能区，形成发展合力；西翼依托白马湖湿地生态资源，着力构建集“湿地康养、生态观光、渔业体验”于一体的特色发展廊道，打造涵盖标准化养殖与生态尾水处理体系的现代化生态渔业示范区；东翼则紧扣国家粮食产能提升战略，以规模化、科技化为方向，建设以优质粮食种植为核心，融合芡实、稻虾共作等特色产业的高效现代农业示范区，筑牢粮食安全根基。</w:t>
            </w:r>
          </w:p>
          <w:p w14:paraId="03DDD808">
            <w:pPr>
              <w:adjustRightInd w:val="0"/>
              <w:snapToGrid w:val="0"/>
              <w:spacing w:line="360" w:lineRule="exact"/>
              <w:ind w:firstLine="560" w:firstLineChars="200"/>
              <w:rPr>
                <w:rFonts w:ascii="Times New Roman" w:hAnsi="Times New Roman" w:eastAsia="方正楷体_GBK" w:cs="Times New Roman"/>
                <w:color w:val="000000" w:themeColor="text1"/>
                <w:kern w:val="0"/>
                <w:sz w:val="24"/>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吕良镇：</w:t>
            </w:r>
            <w:r>
              <w:rPr>
                <w:rFonts w:ascii="Times New Roman" w:hAnsi="Times New Roman" w:eastAsia="方正仿宋_GBK" w:cs="Times New Roman"/>
                <w:color w:val="000000" w:themeColor="text1"/>
                <w:sz w:val="28"/>
                <w:szCs w:val="28"/>
                <w:lang w:bidi="ar"/>
                <w14:textFill>
                  <w14:solidFill>
                    <w14:schemeClr w14:val="tx1"/>
                  </w14:solidFill>
                </w14:textFill>
              </w:rPr>
              <w:t>构建“一环两轴四区”的发展空间格局。一条环线：依托淮金线、白马湖大道、环湖路等，整合生态、人文、产业资源，培育生态新经济新业态。两条重要生态廊道：白马湖—漕泽河生态廊道、老三河生态廊道。四个片区：包括特色种养区、农旅融合区、现代农业区、白马湖生态保育区。围绕吕良镇区构建镇域综合服务中心，孙集、新农集镇主要服务周边乡村，形成吕良北部、西部乡村社区生活圈的服务核心，将吕良建设成为金湖县一二三产业融合发展，以现代农业、生态文化旅游、农产品加工为特色的白马湖畔宜居宜业、乡村振兴样板。</w:t>
            </w:r>
          </w:p>
        </w:tc>
      </w:tr>
    </w:tbl>
    <w:p w14:paraId="745AFB7F">
      <w:pPr>
        <w:pStyle w:val="29"/>
        <w:spacing w:after="0" w:line="560" w:lineRule="exact"/>
        <w:rPr>
          <w:rFonts w:ascii="Times New Roman" w:hAnsi="Times New Roman" w:cs="Times New Roman"/>
        </w:rPr>
      </w:pPr>
      <w:bookmarkStart w:id="108" w:name="_Toc214978103"/>
      <w:bookmarkStart w:id="109" w:name="_Toc218695863"/>
    </w:p>
    <w:p w14:paraId="14523E87">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 xml:space="preserve">第十章  </w:t>
      </w:r>
      <w:bookmarkEnd w:id="102"/>
      <w:bookmarkEnd w:id="103"/>
      <w:bookmarkEnd w:id="108"/>
      <w:r>
        <w:rPr>
          <w:rFonts w:ascii="Times New Roman" w:hAnsi="Times New Roman" w:eastAsia="方正黑体_GBK" w:cs="Times New Roman"/>
          <w:color w:val="000000" w:themeColor="text1"/>
          <w:kern w:val="0"/>
          <w:sz w:val="32"/>
          <w:szCs w:val="32"/>
          <w14:textFill>
            <w14:solidFill>
              <w14:schemeClr w14:val="tx1"/>
            </w14:solidFill>
          </w14:textFill>
        </w:rPr>
        <w:t>扎实推进乡村全面振兴</w:t>
      </w:r>
      <w:bookmarkEnd w:id="109"/>
    </w:p>
    <w:p w14:paraId="32357D36">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坚持农业农村优先发展，加快发展现代农业，推进宜居宜业和美乡村建设，有力有效推进乡村全面振兴</w:t>
      </w:r>
      <w:r>
        <w:rPr>
          <w:rFonts w:hint="eastAsia" w:ascii="Times New Roman" w:hAnsi="Times New Roman" w:eastAsia="方正仿宋_GBK" w:cs="Times New Roman"/>
          <w:color w:val="000000" w:themeColor="text1"/>
          <w:kern w:val="0"/>
          <w:sz w:val="32"/>
          <w:szCs w:val="32"/>
          <w14:textFill>
            <w14:solidFill>
              <w14:schemeClr w14:val="tx1"/>
            </w14:solidFill>
          </w14:textFill>
        </w:rPr>
        <w:t>、</w:t>
      </w:r>
      <w:r>
        <w:rPr>
          <w:rFonts w:ascii="Times New Roman" w:hAnsi="Times New Roman" w:eastAsia="方正仿宋_GBK" w:cs="Times New Roman"/>
          <w:color w:val="000000" w:themeColor="text1"/>
          <w:kern w:val="0"/>
          <w:sz w:val="32"/>
          <w:szCs w:val="32"/>
          <w14:textFill>
            <w14:solidFill>
              <w14:schemeClr w14:val="tx1"/>
            </w14:solidFill>
          </w14:textFill>
        </w:rPr>
        <w:t>农民全面发展，加快农业农村现代化。</w:t>
      </w:r>
    </w:p>
    <w:p w14:paraId="491154FC">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10" w:name="_Toc218695864"/>
      <w:r>
        <w:rPr>
          <w:rFonts w:ascii="Times New Roman" w:hAnsi="Times New Roman" w:eastAsia="方正楷体_GBK" w:cs="Times New Roman"/>
          <w:color w:val="000000" w:themeColor="text1"/>
          <w:kern w:val="0"/>
          <w:sz w:val="32"/>
          <w:szCs w:val="32"/>
          <w14:textFill>
            <w14:solidFill>
              <w14:schemeClr w14:val="tx1"/>
            </w14:solidFill>
          </w14:textFill>
        </w:rPr>
        <w:t>第一节  打造特色现代农业产业基地</w:t>
      </w:r>
      <w:bookmarkEnd w:id="110"/>
    </w:p>
    <w:p w14:paraId="38F6359E">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保障粮食和重要农产品供给。</w:t>
      </w:r>
      <w:r>
        <w:rPr>
          <w:rFonts w:ascii="Times New Roman" w:hAnsi="Times New Roman" w:eastAsia="方正仿宋_GBK" w:cs="Times New Roman"/>
          <w:color w:val="000000" w:themeColor="text1"/>
          <w:kern w:val="0"/>
          <w:sz w:val="32"/>
          <w:szCs w:val="32"/>
          <w14:textFill>
            <w14:solidFill>
              <w14:schemeClr w14:val="tx1"/>
            </w14:solidFill>
          </w14:textFill>
        </w:rPr>
        <w:t>严守耕地红线，加力实施新一轮粮食产能提升行动，高质量推进高标准农田建设，增强粮食等重要农产品供给保障能力。保护和调动农民种粮积极性，及时足额发放耕地地力保护、稻谷等农业补贴，强化农业保险</w:t>
      </w:r>
      <w:r>
        <w:rPr>
          <w:rFonts w:hint="eastAsia" w:ascii="Times New Roman" w:hAnsi="Times New Roman" w:eastAsia="方正仿宋_GBK" w:cs="Times New Roman"/>
          <w:color w:val="000000" w:themeColor="text1"/>
          <w:kern w:val="0"/>
          <w:sz w:val="32"/>
          <w:szCs w:val="32"/>
          <w14:textFill>
            <w14:solidFill>
              <w14:schemeClr w14:val="tx1"/>
            </w14:solidFill>
          </w14:textFill>
        </w:rPr>
        <w:t>支撑</w:t>
      </w:r>
      <w:r>
        <w:rPr>
          <w:rFonts w:ascii="Times New Roman" w:hAnsi="Times New Roman" w:eastAsia="方正仿宋_GBK" w:cs="Times New Roman"/>
          <w:color w:val="000000" w:themeColor="text1"/>
          <w:kern w:val="0"/>
          <w:sz w:val="32"/>
          <w:szCs w:val="32"/>
          <w14:textFill>
            <w14:solidFill>
              <w14:schemeClr w14:val="tx1"/>
            </w14:solidFill>
          </w14:textFill>
        </w:rPr>
        <w:t>作用。保持粮食制种大县优势，稳定制种面积，加强杂交水稻制种，探索常规小麦制种转型，完善科研育种、加工仓储、质量检测一体化体系。推进渔业良种规模化繁育，推广优质湖蟹、龙虾标准化养殖。持续发展畜牧业“种养一体”模式，抓好禽业孵化场及饲料加工项目竣工投产。到2030年，粮食播种面积稳定在114万亩以上，提质改造高标准农田26万亩，粮食综合生产能力稳定在11.5亿斤以上。</w:t>
      </w:r>
    </w:p>
    <w:p w14:paraId="5873C1B8">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推动农业产业高质量发展。</w:t>
      </w:r>
      <w:r>
        <w:rPr>
          <w:rFonts w:ascii="Times New Roman" w:hAnsi="Times New Roman" w:eastAsia="方正仿宋_GBK" w:cs="Times New Roman"/>
          <w:color w:val="000000" w:themeColor="text1"/>
          <w:kern w:val="0"/>
          <w:sz w:val="32"/>
          <w:szCs w:val="32"/>
          <w14:textFill>
            <w14:solidFill>
              <w14:schemeClr w14:val="tx1"/>
            </w14:solidFill>
          </w14:textFill>
        </w:rPr>
        <w:t>聚焦优势特色产业综合效益提升，推动农业产业集群化发展，把农业建成现代化大产业。加快数智技术在农业领域的推广应用，组织实施品种选育、高效生产、精深加工及资源综合利用等关键技术攻关，推进大田作物智慧生产场景建设和智慧农业示范基地建设。加快农机化应用点建设，推进特色农产品机械化应用。打造优质食味水稻、精品渔业、绿色水生蔬菜等特色农产品，提升米面、荷藕、芡实精深加工水平，布局建设绿色食品园区，争取招引实施亿元以上农产品精深加工项目50个。实施农业龙头企业培育工程，培育省级农业龙头企业5家。完善农产品仓储保鲜冷链物流设施，推广“生鲜电商+冷链宅配”“直播电商+产地仓+寄递”等新模式。</w:t>
      </w:r>
      <w:r>
        <w:rPr>
          <w:rFonts w:ascii="Times New Roman" w:hAnsi="Times New Roman" w:eastAsia="方正仿宋_GBK" w:cs="Times New Roman"/>
          <w:color w:val="000000" w:themeColor="text1"/>
          <w:sz w:val="32"/>
          <w:szCs w:val="32"/>
          <w14:textFill>
            <w14:solidFill>
              <w14:schemeClr w14:val="tx1"/>
            </w14:solidFill>
          </w14:textFill>
        </w:rPr>
        <w:t>做好“淮安乡村振兴贷”推广宣传工作，引导金融机构聚焦农产品供应链、生态产品价值实现等重点领域创新金融产品。</w:t>
      </w:r>
      <w:r>
        <w:rPr>
          <w:rFonts w:ascii="Times New Roman" w:hAnsi="Times New Roman" w:eastAsia="方正仿宋_GBK" w:cs="Times New Roman"/>
          <w:color w:val="000000" w:themeColor="text1"/>
          <w:kern w:val="0"/>
          <w:sz w:val="32"/>
          <w:szCs w:val="32"/>
          <w14:textFill>
            <w14:solidFill>
              <w14:schemeClr w14:val="tx1"/>
            </w14:solidFill>
          </w14:textFill>
        </w:rPr>
        <w:t>推动特色农产品品牌高质量运营，强化农产品区域品牌、产品品牌、企业品牌“三牌共建”，打响1-2个金湖特色产品品牌。</w:t>
      </w:r>
    </w:p>
    <w:p w14:paraId="6BDB8915">
      <w:pPr>
        <w:adjustRightInd w:val="0"/>
        <w:snapToGrid w:val="0"/>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推动生态农业发展。</w:t>
      </w:r>
      <w:r>
        <w:rPr>
          <w:rFonts w:ascii="Times New Roman" w:hAnsi="Times New Roman" w:eastAsia="方正仿宋_GBK" w:cs="Times New Roman"/>
          <w:color w:val="000000" w:themeColor="text1"/>
          <w:kern w:val="0"/>
          <w:sz w:val="32"/>
          <w:szCs w:val="32"/>
          <w14:textFill>
            <w14:solidFill>
              <w14:schemeClr w14:val="tx1"/>
            </w14:solidFill>
          </w14:textFill>
        </w:rPr>
        <w:t>以绿色环保、品质提升、循环利用、可持续发展为重点，全面推广生态农业发展模式，加快构建“湖蟹+龙虾”全产业链，建设渔业、大米等现代特色产业园项目，争取省部级高质高效园区新突破，不断增创生态农业产业化优势。突出源头管控、资源化利用、融合发展、产地环境建设、多元增殖、产地产品检测等建设重点，持续实施农田退水循环利用、规模养殖池塘尾水治理、畜禽粪污治理与循环利用等三大工程。建设生态试点单位，形成产业发展模式生态化、投入品使用减量化、生产过程清洁化、废弃物利用循环化、产品优质品牌化的生态农业发展新格局。到2030年，生态农业三大工程治理率达100%。</w:t>
      </w:r>
    </w:p>
    <w:p w14:paraId="6026D147">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11" w:name="_Toc218695865"/>
      <w:r>
        <w:rPr>
          <w:rFonts w:ascii="Times New Roman" w:hAnsi="Times New Roman" w:eastAsia="方正楷体_GBK" w:cs="Times New Roman"/>
          <w:color w:val="000000" w:themeColor="text1"/>
          <w:kern w:val="0"/>
          <w:sz w:val="32"/>
          <w:szCs w:val="32"/>
          <w14:textFill>
            <w14:solidFill>
              <w14:schemeClr w14:val="tx1"/>
            </w14:solidFill>
          </w14:textFill>
        </w:rPr>
        <w:t>第二节  建设宜居宜业和美乡村</w:t>
      </w:r>
      <w:bookmarkEnd w:id="111"/>
    </w:p>
    <w:p w14:paraId="4C378B4D">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持续改善农村人居环境。</w:t>
      </w:r>
      <w:r>
        <w:rPr>
          <w:rFonts w:ascii="Times New Roman" w:hAnsi="Times New Roman" w:eastAsia="方正仿宋_GBK" w:cs="Times New Roman"/>
          <w:color w:val="000000" w:themeColor="text1"/>
          <w:sz w:val="32"/>
          <w:szCs w:val="32"/>
          <w14:textFill>
            <w14:solidFill>
              <w14:schemeClr w14:val="tx1"/>
            </w14:solidFill>
          </w14:textFill>
        </w:rPr>
        <w:t>以农村人居环境整治为抓手，</w:t>
      </w:r>
      <w:r>
        <w:rPr>
          <w:rFonts w:ascii="Times New Roman" w:hAnsi="Times New Roman" w:eastAsia="方正仿宋_GBK" w:cs="Times New Roman"/>
          <w:color w:val="000000" w:themeColor="text1"/>
          <w:kern w:val="0"/>
          <w:sz w:val="32"/>
          <w:szCs w:val="32"/>
          <w14:textFill>
            <w14:solidFill>
              <w14:schemeClr w14:val="tx1"/>
            </w14:solidFill>
          </w14:textFill>
        </w:rPr>
        <w:t>学习运用“千万工程”经验，</w:t>
      </w:r>
      <w:r>
        <w:rPr>
          <w:rFonts w:ascii="Times New Roman" w:hAnsi="Times New Roman" w:eastAsia="方正仿宋_GBK" w:cs="Times New Roman"/>
          <w:color w:val="000000" w:themeColor="text1"/>
          <w:sz w:val="32"/>
          <w:szCs w:val="32"/>
          <w14:textFill>
            <w14:solidFill>
              <w14:schemeClr w14:val="tx1"/>
            </w14:solidFill>
          </w14:textFill>
        </w:rPr>
        <w:t>推进生活垃圾治理、生活污水处置、村容村貌提升“三大工程</w:t>
      </w:r>
      <w:r>
        <w:rPr>
          <w:rFonts w:ascii="Times New Roman" w:hAnsi="Times New Roman" w:eastAsia="方正仿宋_GBK" w:cs="Times New Roman"/>
          <w:color w:val="000000" w:themeColor="text1"/>
          <w:kern w:val="0"/>
          <w:sz w:val="32"/>
          <w:szCs w:val="32"/>
          <w14:textFill>
            <w14:solidFill>
              <w14:schemeClr w14:val="tx1"/>
            </w14:solidFill>
          </w14:textFill>
        </w:rPr>
        <w:t>”，实现农村户厕改造全</w:t>
      </w:r>
      <w:r>
        <w:rPr>
          <w:rFonts w:ascii="Times New Roman" w:hAnsi="Times New Roman" w:eastAsia="方正仿宋_GBK" w:cs="Times New Roman"/>
          <w:color w:val="000000" w:themeColor="text1"/>
          <w:sz w:val="32"/>
          <w:szCs w:val="32"/>
          <w14:textFill>
            <w14:solidFill>
              <w14:schemeClr w14:val="tx1"/>
            </w14:solidFill>
          </w14:textFill>
        </w:rPr>
        <w:t>覆盖，农村生活污水治理率达到90%，推动农村从“环境美”向“生活美”转变。</w:t>
      </w:r>
      <w:r>
        <w:rPr>
          <w:rFonts w:ascii="Times New Roman" w:hAnsi="Times New Roman" w:eastAsia="方正仿宋_GBK" w:cs="Times New Roman"/>
          <w:color w:val="000000" w:themeColor="text1"/>
          <w:kern w:val="0"/>
          <w:sz w:val="32"/>
          <w:szCs w:val="32"/>
          <w14:textFill>
            <w14:solidFill>
              <w14:schemeClr w14:val="tx1"/>
            </w14:solidFill>
          </w14:textFill>
        </w:rPr>
        <w:t>加快补齐农村现代生活条件短板，</w:t>
      </w:r>
      <w:r>
        <w:rPr>
          <w:rFonts w:ascii="Times New Roman" w:hAnsi="Times New Roman" w:eastAsia="方正仿宋_GBK" w:cs="Times New Roman"/>
          <w:color w:val="000000" w:themeColor="text1"/>
          <w:sz w:val="32"/>
          <w:szCs w:val="32"/>
          <w14:textFill>
            <w14:solidFill>
              <w14:schemeClr w14:val="tx1"/>
            </w14:solidFill>
          </w14:textFill>
        </w:rPr>
        <w:t>配套完善文化、卫生、养老等公共服务设施，</w:t>
      </w:r>
      <w:r>
        <w:rPr>
          <w:rFonts w:ascii="Times New Roman" w:hAnsi="Times New Roman" w:eastAsia="方正仿宋_GBK" w:cs="Times New Roman"/>
          <w:color w:val="000000" w:themeColor="text1"/>
          <w:kern w:val="0"/>
          <w:sz w:val="32"/>
          <w:szCs w:val="32"/>
          <w14:textFill>
            <w14:solidFill>
              <w14:schemeClr w14:val="tx1"/>
            </w14:solidFill>
          </w14:textFill>
        </w:rPr>
        <w:t>加强交通、水利等沿线公共空间整治，创造乡村优质生活空间。到2030年，培育宜居宜业和美乡村30个，力争全县覆盖率60%以上。</w:t>
      </w:r>
    </w:p>
    <w:p w14:paraId="09E7E224">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推动农村基础设施提档升级。</w:t>
      </w:r>
      <w:r>
        <w:rPr>
          <w:rFonts w:ascii="Times New Roman" w:hAnsi="Times New Roman" w:eastAsia="方正仿宋_GBK" w:cs="Times New Roman"/>
          <w:color w:val="000000" w:themeColor="text1"/>
          <w:kern w:val="0"/>
          <w:sz w:val="32"/>
          <w:szCs w:val="32"/>
          <w14:textFill>
            <w14:solidFill>
              <w14:schemeClr w14:val="tx1"/>
            </w14:solidFill>
          </w14:textFill>
        </w:rPr>
        <w:t>坚持功能覆盖和空间叠加并重，因地制宜完善乡村建设实施机制，统筹优化村镇布局，推动县域基础设施一体化规划建设管护。</w:t>
      </w:r>
      <w:r>
        <w:rPr>
          <w:rFonts w:ascii="Times New Roman" w:hAnsi="Times New Roman" w:eastAsia="方正仿宋_GBK" w:cs="Times New Roman"/>
          <w:color w:val="000000" w:themeColor="text1"/>
          <w:sz w:val="32"/>
          <w:szCs w:val="32"/>
          <w14:textFill>
            <w14:solidFill>
              <w14:schemeClr w14:val="tx1"/>
            </w14:solidFill>
          </w14:textFill>
        </w:rPr>
        <w:t>协同开展县域国土空间治理，稳步实施全域土地综合整治，通过实施土地平整、土壤改良、灌溉与排水、田间道路、农田防护与生态环境保持等工程，构建完善的农田生态系统。健全农村常态化排查机制，重点关注特殊家庭住房安全，隐患建筑应改尽改，保障困难群众住房安全。</w:t>
      </w:r>
    </w:p>
    <w:p w14:paraId="1FDB3867">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提升乡村治理效能。</w:t>
      </w:r>
      <w:r>
        <w:rPr>
          <w:rFonts w:ascii="Times New Roman" w:hAnsi="Times New Roman" w:eastAsia="方正仿宋_GBK" w:cs="Times New Roman"/>
          <w:color w:val="000000" w:themeColor="text1"/>
          <w:sz w:val="32"/>
          <w:szCs w:val="32"/>
          <w14:textFill>
            <w14:solidFill>
              <w14:schemeClr w14:val="tx1"/>
            </w14:solidFill>
          </w14:textFill>
        </w:rPr>
        <w:t>健全完善基层群众自治制度，深化农村社区“五社联动”机制。全面落实村党组织、村民委员会职责任务清单，严格执行村级重大事项实行“四议两公开”制度要求。加强村民自治组织规范化建设，规范村民委员会换届选举，严格落实候选人资格联审机制。建立村规民约动态修订机制，强化村规民约引导约束作用。加强乡村法治教育和法律服务，推进民主法治示范村（社区）建设。</w:t>
      </w:r>
    </w:p>
    <w:p w14:paraId="380F792C">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12" w:name="_Toc218695866"/>
      <w:r>
        <w:rPr>
          <w:rFonts w:ascii="Times New Roman" w:hAnsi="Times New Roman" w:eastAsia="方正楷体_GBK" w:cs="Times New Roman"/>
          <w:color w:val="000000" w:themeColor="text1"/>
          <w:kern w:val="0"/>
          <w:sz w:val="32"/>
          <w:szCs w:val="32"/>
          <w14:textFill>
            <w14:solidFill>
              <w14:schemeClr w14:val="tx1"/>
            </w14:solidFill>
          </w14:textFill>
        </w:rPr>
        <w:t>第三节  推动农民共享乡村振兴成果</w:t>
      </w:r>
      <w:bookmarkEnd w:id="112"/>
    </w:p>
    <w:p w14:paraId="44A857D6">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创新发展村级集体经济。</w:t>
      </w:r>
      <w:r>
        <w:rPr>
          <w:rFonts w:ascii="Times New Roman" w:hAnsi="Times New Roman" w:eastAsia="方正仿宋_GBK" w:cs="Times New Roman"/>
          <w:color w:val="000000" w:themeColor="text1"/>
          <w:kern w:val="0"/>
          <w:sz w:val="32"/>
          <w:szCs w:val="32"/>
          <w14:textFill>
            <w14:solidFill>
              <w14:schemeClr w14:val="tx1"/>
            </w14:solidFill>
          </w14:textFill>
        </w:rPr>
        <w:t>以改革赋能村集体经济增收，推动农村产权交易通过国家级规范化试点验收，深化农村产权交易“小田变大田”模式推广，完善“云抵押”流程，缩短放贷时间。加强“三资”审计与会计业务培训，指导村居盘活资产、化解债务。大力发展乡村富民产业，支持村集体领办发展飞地经济、物业经济、生态经济、共享经济等新型农村集体经济。发展农业适度规模经营，完善县新型农业经营主体管理服务数字化平台功能，提高新型农业经营主体发展质量，健全便捷高效的农业社会化服务体系，促进小农户和现代农业发展有机衔接。</w:t>
      </w:r>
      <w:r>
        <w:rPr>
          <w:rFonts w:ascii="Times New Roman" w:hAnsi="Times New Roman" w:eastAsia="方正仿宋_GBK" w:cs="Times New Roman"/>
          <w:color w:val="000000" w:themeColor="text1"/>
          <w:sz w:val="32"/>
          <w:szCs w:val="32"/>
          <w14:textFill>
            <w14:solidFill>
              <w14:schemeClr w14:val="tx1"/>
            </w14:solidFill>
          </w14:textFill>
        </w:rPr>
        <w:t>深化农村产权制度改革，发展多种形式的股份制合作。推进农村承包土地“三权分置”改革，加快盘活乡村公共用地、荒废宅基地等集体资产。</w:t>
      </w:r>
    </w:p>
    <w:p w14:paraId="093E9831">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多渠道促进农民增收。</w:t>
      </w:r>
      <w:r>
        <w:rPr>
          <w:rFonts w:ascii="Times New Roman" w:hAnsi="Times New Roman" w:eastAsia="方正仿宋_GBK" w:cs="Times New Roman"/>
          <w:color w:val="000000" w:themeColor="text1"/>
          <w:kern w:val="0"/>
          <w:sz w:val="32"/>
          <w:szCs w:val="32"/>
          <w14:textFill>
            <w14:solidFill>
              <w14:schemeClr w14:val="tx1"/>
            </w14:solidFill>
          </w14:textFill>
        </w:rPr>
        <w:t>加大强农惠农富农支持力度，利用好省现代农业设施建设贷款贴息，完善乡村振兴投入机制，健全财政优先保障、金融重点倾斜、社会积极参与的多元投入格局。完善联农带农富农机制，促进农民稳定增收。实施新型职业农民培育工程，完善就业创业服务体系，促进农村劳动力高质量转移就业。构建更加紧密的农企利益联结机制，让更多农民共享产业链增值收益。通过搭建就业平台，增设公益性岗位等举措，提升低收入农户收入。</w:t>
      </w:r>
      <w:r>
        <w:rPr>
          <w:rFonts w:ascii="Times New Roman" w:hAnsi="Times New Roman" w:eastAsia="方正仿宋_GBK" w:cs="Times New Roman"/>
          <w:color w:val="000000" w:themeColor="text1"/>
          <w:sz w:val="32"/>
          <w:szCs w:val="32"/>
          <w14:textFill>
            <w14:solidFill>
              <w14:schemeClr w14:val="tx1"/>
            </w14:solidFill>
          </w14:textFill>
        </w:rPr>
        <w:t>积极拓宽乡土人才培养渠道，完善人才信息库</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争创省级乡土人才大师工作室，有效推动“带领技艺传承、带强产业发展、带动群众致富”。</w:t>
      </w:r>
    </w:p>
    <w:p w14:paraId="31B80BD4">
      <w:pPr>
        <w:pStyle w:val="29"/>
        <w:spacing w:after="0" w:line="560" w:lineRule="exact"/>
        <w:rPr>
          <w:rFonts w:ascii="Times New Roman" w:hAnsi="Times New Roman" w:cs="Times New Roman"/>
        </w:rPr>
      </w:pPr>
    </w:p>
    <w:bookmarkEnd w:id="104"/>
    <w:bookmarkEnd w:id="105"/>
    <w:p w14:paraId="41615569">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113" w:name="_Toc218695867"/>
      <w:bookmarkStart w:id="114" w:name="_Toc214978110"/>
      <w:r>
        <w:rPr>
          <w:rFonts w:ascii="Times New Roman" w:hAnsi="Times New Roman" w:eastAsia="方正黑体_GBK" w:cs="Times New Roman"/>
          <w:color w:val="000000" w:themeColor="text1"/>
          <w:kern w:val="0"/>
          <w:sz w:val="32"/>
          <w:szCs w:val="32"/>
          <w14:textFill>
            <w14:solidFill>
              <w14:schemeClr w14:val="tx1"/>
            </w14:solidFill>
          </w14:textFill>
        </w:rPr>
        <w:t>第十一章  加快发展方式绿色转型</w:t>
      </w:r>
      <w:bookmarkEnd w:id="113"/>
      <w:bookmarkEnd w:id="114"/>
    </w:p>
    <w:p w14:paraId="4E166D2B">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牢固树立和践行绿水青山就是金山银山的理念，持续巩固首批国家生态文明建设示范县创建成果，切实把碳达峰碳中和纳入经济社会发展全局，协同推进各领域降碳、减污、扩绿、增长，筑牢生态安全屏障，厚植高质量发展的生态底色。</w:t>
      </w:r>
    </w:p>
    <w:p w14:paraId="4D66E429">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15" w:name="_Toc218695868"/>
      <w:r>
        <w:rPr>
          <w:rFonts w:ascii="Times New Roman" w:hAnsi="Times New Roman" w:eastAsia="方正楷体_GBK" w:cs="Times New Roman"/>
          <w:color w:val="000000" w:themeColor="text1"/>
          <w:kern w:val="0"/>
          <w:sz w:val="32"/>
          <w:szCs w:val="32"/>
          <w14:textFill>
            <w14:solidFill>
              <w14:schemeClr w14:val="tx1"/>
            </w14:solidFill>
          </w14:textFill>
        </w:rPr>
        <w:t>第一节  强化生态环境综合治理</w:t>
      </w:r>
      <w:bookmarkEnd w:id="115"/>
    </w:p>
    <w:p w14:paraId="7F4BD50E">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深入实施污染综合治理。</w:t>
      </w:r>
      <w:r>
        <w:rPr>
          <w:rFonts w:ascii="Times New Roman" w:hAnsi="Times New Roman" w:eastAsia="方正仿宋_GBK" w:cs="Times New Roman"/>
          <w:color w:val="000000" w:themeColor="text1"/>
          <w:sz w:val="32"/>
          <w:szCs w:val="32"/>
          <w14:textFill>
            <w14:solidFill>
              <w14:schemeClr w14:val="tx1"/>
            </w14:solidFill>
          </w14:textFill>
        </w:rPr>
        <w:t>持续深入打好蓝天、碧水、净土保卫战，推动生态环境质量全面改善。推进大气污染防治，深入实施工业源、移动源、扬尘源、生活源、焚烧源“五源共治”，加大臭氧与PM</w:t>
      </w:r>
      <w:r>
        <w:rPr>
          <w:rFonts w:ascii="Times New Roman" w:hAnsi="Times New Roman" w:eastAsia="方正仿宋_GBK" w:cs="Times New Roman"/>
          <w:color w:val="000000" w:themeColor="text1"/>
          <w:sz w:val="32"/>
          <w:szCs w:val="32"/>
          <w:vertAlign w:val="subscript"/>
          <w14:textFill>
            <w14:solidFill>
              <w14:schemeClr w14:val="tx1"/>
            </w14:solidFill>
          </w14:textFill>
        </w:rPr>
        <w:t>2.5</w:t>
      </w:r>
      <w:r>
        <w:rPr>
          <w:rFonts w:ascii="Times New Roman" w:hAnsi="Times New Roman" w:eastAsia="方正仿宋_GBK" w:cs="Times New Roman"/>
          <w:color w:val="000000" w:themeColor="text1"/>
          <w:sz w:val="32"/>
          <w:szCs w:val="32"/>
          <w14:textFill>
            <w14:solidFill>
              <w14:schemeClr w14:val="tx1"/>
            </w14:solidFill>
          </w14:textFill>
        </w:rPr>
        <w:t>协同控制、VOCs综合治理攻坚力度，建立园区“嗅辨+监测”异味溯源机制，推进多污染物协同减排。实施水环境综合整治，全面推行“厂—网—河—湖”一体化运维机制，全面排查并建立黑臭水体治理清单，同时管控周边污染源，定期监测防止黑臭现象反弹。加强土壤污染源头防控，开展重点在产企业用地土壤调查评估与风险管控，探索“治理修复+可持续再开发”模式，有序推进污染地块治理修复。实施固体废物综合治理行动，完善各类固体废物的分类收集与资源化利用系统，加强危险废物全过程监管，系统推进“无废城市”建设。</w:t>
      </w:r>
    </w:p>
    <w:p w14:paraId="1B3963F6">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加强河湖生态系统保护与治理。</w:t>
      </w:r>
      <w:r>
        <w:rPr>
          <w:rFonts w:ascii="Times New Roman" w:hAnsi="Times New Roman" w:eastAsia="方正仿宋_GBK" w:cs="Times New Roman"/>
          <w:color w:val="000000" w:themeColor="text1"/>
          <w:sz w:val="32"/>
          <w:szCs w:val="32"/>
          <w14:textFill>
            <w14:solidFill>
              <w14:schemeClr w14:val="tx1"/>
            </w14:solidFill>
          </w14:textFill>
        </w:rPr>
        <w:t>系统开展退化湿地修复工程，加强湿地水资源管理与保护，力争实现湿地生态系统的整体修复，积极探索“湿地+”的多元发展模式。有序推进高邮湖退圩还湖、宝应湖水生态修复、淮河入江水道综合整治、骨干河道水系连通和第三自来水厂周边环境整治提升等工程。持续开展“三水”清除，常态化开展河湖“清四乱”，重点加强金宝航道、大汕子河、老三河等流域沿线清理。统筹实施河湖缓冲带建设、生态护坡改造及水生植被恢复，系统提升水源涵养与水体自净能力。加强河湖生态流量保障，将生态用水纳入区域水资源配置方案。扎实推进山水林田湖草沙一体化保护和系统治理，建立共商、共享、共治、共建的协同联动工作机制，提升全县治林、治水综合管护能力。</w:t>
      </w:r>
    </w:p>
    <w:p w14:paraId="03BCA12C">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高质量开展生物多样性保护。</w:t>
      </w:r>
      <w:r>
        <w:rPr>
          <w:rFonts w:ascii="Times New Roman" w:hAnsi="Times New Roman" w:eastAsia="方正仿宋_GBK" w:cs="Times New Roman"/>
          <w:color w:val="000000" w:themeColor="text1"/>
          <w:sz w:val="32"/>
          <w:szCs w:val="32"/>
          <w14:textFill>
            <w14:solidFill>
              <w14:schemeClr w14:val="tx1"/>
            </w14:solidFill>
          </w14:textFill>
        </w:rPr>
        <w:t>开展新一轮全县生物多样性本底调查，更新生物多样性数据库。探索开展高邮湖、宝应湖、白马湖等生物多样性热点区域湿地生物多样性固定观测，持续监测其种类、数量、分布及动态变化。科学划定生物多样性保护核心区域，重点保护高邮湖鸟类栖息地、宝应湖鱼类产卵场及荷花荡水生植物群落，严格限制影响栖息地完整性的开发活动。深化生物多样性保护全民参与机制，依托白马湖国际湿地、荷花荡等生态空间开展自然教育，引导公众共建人与自然和谐共生的美丽家园。</w:t>
      </w:r>
    </w:p>
    <w:p w14:paraId="767FCF6D">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16" w:name="_Toc218695869"/>
      <w:r>
        <w:rPr>
          <w:rFonts w:ascii="Times New Roman" w:hAnsi="Times New Roman" w:eastAsia="方正楷体_GBK" w:cs="Times New Roman"/>
          <w:color w:val="000000" w:themeColor="text1"/>
          <w:kern w:val="0"/>
          <w:sz w:val="32"/>
          <w:szCs w:val="32"/>
          <w14:textFill>
            <w14:solidFill>
              <w14:schemeClr w14:val="tx1"/>
            </w14:solidFill>
          </w14:textFill>
        </w:rPr>
        <w:t>第二节  积极稳妥推进碳达峰</w:t>
      </w:r>
      <w:bookmarkEnd w:id="116"/>
    </w:p>
    <w:p w14:paraId="20457C84">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严格落实双控制度。</w:t>
      </w:r>
      <w:r>
        <w:rPr>
          <w:rFonts w:ascii="Times New Roman" w:hAnsi="Times New Roman" w:eastAsia="方正仿宋_GBK" w:cs="Times New Roman"/>
          <w:color w:val="000000" w:themeColor="text1"/>
          <w:sz w:val="32"/>
          <w:szCs w:val="32"/>
          <w14:textFill>
            <w14:solidFill>
              <w14:schemeClr w14:val="tx1"/>
            </w14:solidFill>
          </w14:textFill>
        </w:rPr>
        <w:t>严格落实碳排放总量和强度双控，加快推动工业、城乡建设、交通运输、能源等重点领域绿色低碳转型，严格“两高”项目准入。引导企业积极参与更高标准的绿色产品、低碳产品、碳足迹、碳中和等绿色认证体系建设。推进企业碳排放管理体系建设，鼓励重点领域企业和重点用能单位制定切实可行的碳达峰工作方案，明确时间表和路线图。对能源消费和碳排放指标实行协同管理、协同分解，建立健全覆盖能源活动、工业生产过程等关键领域的碳排放统计、监测与核算机制，确保碳达峰目标如期实现。</w:t>
      </w:r>
    </w:p>
    <w:p w14:paraId="24C6876E">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构建清洁低碳能源体系。</w:t>
      </w:r>
      <w:r>
        <w:rPr>
          <w:rFonts w:ascii="Times New Roman" w:hAnsi="Times New Roman" w:eastAsia="方正仿宋_GBK" w:cs="Times New Roman"/>
          <w:color w:val="000000" w:themeColor="text1"/>
          <w:sz w:val="32"/>
          <w:szCs w:val="32"/>
          <w14:textFill>
            <w14:solidFill>
              <w14:schemeClr w14:val="tx1"/>
            </w14:solidFill>
          </w14:textFill>
        </w:rPr>
        <w:t>加快建设新型能源体系，深入推进“零碳”县域自治示范项目建设，开展全县域新型电力系统试点，重点攻关高比例可再生能源接入、智能微电网运行控制、源网荷储协同互动等关键技术，推进建立绿电交易、溯源认证体系，促进绿电高比例就地消纳。推进分布式新能源多领域融合开发，支持发展储能、工业微电网、虚拟电厂。推动新能源与多产业协同发展，探索绿电驱动绿产发展路径，鼓励企业能源消费绿色化低碳化，系统推进低（零）碳产业园建设，推动制造业绿色化进程，加大绿色产品、绿色工厂、绿色园区、绿色供应链培育力度。</w:t>
      </w:r>
    </w:p>
    <w:p w14:paraId="6F4658A1">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健全生态价值实现和补偿机制。</w:t>
      </w:r>
      <w:r>
        <w:rPr>
          <w:rFonts w:ascii="Times New Roman" w:hAnsi="Times New Roman" w:eastAsia="方正仿宋_GBK" w:cs="Times New Roman"/>
          <w:color w:val="000000" w:themeColor="text1"/>
          <w:sz w:val="32"/>
          <w:szCs w:val="32"/>
          <w14:textFill>
            <w14:solidFill>
              <w14:schemeClr w14:val="tx1"/>
            </w14:solidFill>
          </w14:textFill>
        </w:rPr>
        <w:t>深化省级生态产品价值实现机制试点建设，依托县域湿地生态资源，探索“生态修复—价值提升—产业融合”一体化路径。强化GEP核算结果在产业准入、生态补偿等政策制定中的应用，加快推进碳排放权、用水权、用能权、排污权、碳汇等绿色要素价值市场化实现，推动核算成果向项目策划、向金融授信转化，鼓励金融机构开发绿色信贷、生态债券、生态保险等金融产品。建立健全以水质提升、生态保护成效为导向的生态保护补偿机制和损害赔偿制度，探索设立绿色发展基金或环保公益基金吸引社会资本，打通“保护者受益、使用者付费、破坏者赔偿”的转化路径。</w:t>
      </w:r>
    </w:p>
    <w:p w14:paraId="63E2D3E4">
      <w:pPr>
        <w:pStyle w:val="29"/>
        <w:rPr>
          <w:rFonts w:ascii="Times New Roman" w:hAnsi="Times New Roman" w:cs="Times New Roman"/>
        </w:rPr>
      </w:pPr>
    </w:p>
    <w:p w14:paraId="78C3183D">
      <w:pPr>
        <w:keepNext/>
        <w:widowControl/>
        <w:spacing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17" w:name="_Toc218695870"/>
      <w:r>
        <w:rPr>
          <w:rFonts w:ascii="Times New Roman" w:hAnsi="Times New Roman" w:eastAsia="方正楷体_GBK" w:cs="Times New Roman"/>
          <w:color w:val="000000" w:themeColor="text1"/>
          <w:kern w:val="0"/>
          <w:sz w:val="32"/>
          <w:szCs w:val="32"/>
          <w14:textFill>
            <w14:solidFill>
              <w14:schemeClr w14:val="tx1"/>
            </w14:solidFill>
          </w14:textFill>
        </w:rPr>
        <w:t>第三节  形成绿色生产生活方式</w:t>
      </w:r>
      <w:bookmarkEnd w:id="117"/>
    </w:p>
    <w:p w14:paraId="6F85D0D2">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形成绿色低碳生产方式。</w:t>
      </w:r>
      <w:r>
        <w:rPr>
          <w:rFonts w:ascii="Times New Roman" w:hAnsi="Times New Roman" w:eastAsia="方正仿宋_GBK" w:cs="Times New Roman"/>
          <w:color w:val="000000" w:themeColor="text1"/>
          <w:sz w:val="32"/>
          <w:szCs w:val="32"/>
          <w14:textFill>
            <w14:solidFill>
              <w14:schemeClr w14:val="tx1"/>
            </w14:solidFill>
          </w14:textFill>
        </w:rPr>
        <w:t>深化循环经济发展，推动县开发区开展循环化改造，培育一批循环经济示范企业。严格落实资源总量管理和全面节约制度，强化能源、土地、水资源等重点领域节约管理。完善工业固废、农业废弃物综合利用体系，提升再生资源回收利用水平。提升能源利用效率，推广高效节能电机、高效节能照明等节能产品，推动变压器、环保用能设施等用能设备节能增效，加快淘汰落后低效设备。推动农业节水增效、工业节水减排、城镇节水降损，加强非常规水利用，加快建设节水型社会。</w:t>
      </w:r>
    </w:p>
    <w:p w14:paraId="7BA90172">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培养绿色低碳生活方式。</w:t>
      </w:r>
      <w:r>
        <w:rPr>
          <w:rFonts w:ascii="Times New Roman" w:hAnsi="Times New Roman" w:eastAsia="方正仿宋_GBK" w:cs="Times New Roman"/>
          <w:color w:val="000000" w:themeColor="text1"/>
          <w:sz w:val="32"/>
          <w:szCs w:val="32"/>
          <w14:textFill>
            <w14:solidFill>
              <w14:schemeClr w14:val="tx1"/>
            </w14:solidFill>
          </w14:textFill>
        </w:rPr>
        <w:t>建设一体化低碳交通网络，加强交通领域节能减排，引导公众优先选择公共交通、步行、自行车等绿色出行方式，发展智能化绿色物流系统。加大绿色产品供给，鼓励发展绿色食品、有机农产品及碳足迹标识农产品，大力推广绿色产品认证，推动政府绿色采购。鼓励商场、电商平台设立绿色产品销售专区，推动绿色商场、绿色餐饮发展。发挥公共机构示范引领作用，积极推行绿色办公，鼓励使用节电型电器和照明产品。引导公众节约用水用电用气、反对铺张浪费、推广“光盘行动”、抵制过度包装、减少一次性用品使用。</w:t>
      </w:r>
    </w:p>
    <w:p w14:paraId="57FF64D1">
      <w:pPr>
        <w:keepNext/>
        <w:tabs>
          <w:tab w:val="right" w:pos="8205"/>
        </w:tabs>
        <w:spacing w:line="400" w:lineRule="exact"/>
        <w:jc w:val="center"/>
        <w:rPr>
          <w:rFonts w:ascii="Times New Roman" w:hAnsi="Times New Roman" w:eastAsia="方正黑体_GBK" w:cs="Times New Roman"/>
          <w:color w:val="000000" w:themeColor="text1"/>
          <w:sz w:val="28"/>
          <w:szCs w:val="28"/>
          <w14:textFill>
            <w14:solidFill>
              <w14:schemeClr w14:val="tx1"/>
            </w14:solidFill>
          </w14:textFill>
        </w:rPr>
      </w:pPr>
      <w:r>
        <w:rPr>
          <w:rFonts w:ascii="Times New Roman" w:hAnsi="Times New Roman" w:eastAsia="方正黑体_GBK" w:cs="Times New Roman"/>
          <w:color w:val="000000" w:themeColor="text1"/>
          <w:sz w:val="28"/>
          <w:szCs w:val="28"/>
          <w14:textFill>
            <w14:solidFill>
              <w14:schemeClr w14:val="tx1"/>
            </w14:solidFill>
          </w14:textFill>
        </w:rPr>
        <w:br w:type="page"/>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06FB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DA967AE">
            <w:pPr>
              <w:keepNext/>
              <w:tabs>
                <w:tab w:val="right" w:pos="8205"/>
              </w:tabs>
              <w:spacing w:line="400" w:lineRule="exact"/>
              <w:jc w:val="center"/>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28"/>
                <w:szCs w:val="28"/>
                <w14:textFill>
                  <w14:solidFill>
                    <w14:schemeClr w14:val="tx1"/>
                  </w14:solidFill>
                </w14:textFill>
              </w:rPr>
              <w:t>专栏7：“十五五”资源环境重点工程项目</w:t>
            </w:r>
          </w:p>
        </w:tc>
      </w:tr>
      <w:tr w14:paraId="449B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tcPr>
          <w:p w14:paraId="6F3AACC3">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生态修复与环境治理项目：</w:t>
            </w:r>
            <w:r>
              <w:rPr>
                <w:rFonts w:ascii="Times New Roman" w:hAnsi="Times New Roman" w:eastAsia="方正仿宋_GBK" w:cs="Times New Roman"/>
                <w:color w:val="000000" w:themeColor="text1"/>
                <w:sz w:val="28"/>
                <w:szCs w:val="28"/>
                <w14:textFill>
                  <w14:solidFill>
                    <w14:schemeClr w14:val="tx1"/>
                  </w14:solidFill>
                </w14:textFill>
              </w:rPr>
              <w:t>包括高邮湖退圩还湖工程、宝应湖生态修复工程、淮河入江水道中东水源地与黎城湖备用水源地管理提升工程、国家水土保持重点工程孙集小流域综合治理项目、南水北调东线江苏段二期工程、高邮湖湖滨缓冲带生态修复项目、县城区河道常态化清淤工程、水环境治理工程、水库及山塘清淤工程、中小河流治理工程、农村生态河道建设工程、淮河入江水道水环境治理工程等。</w:t>
            </w:r>
          </w:p>
          <w:p w14:paraId="390294F9">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绿色低碳交通项目：</w:t>
            </w:r>
            <w:r>
              <w:rPr>
                <w:rFonts w:ascii="Times New Roman" w:hAnsi="Times New Roman" w:eastAsia="方正仿宋_GBK" w:cs="Times New Roman"/>
                <w:color w:val="000000" w:themeColor="text1"/>
                <w:sz w:val="28"/>
                <w:szCs w:val="28"/>
                <w14:textFill>
                  <w14:solidFill>
                    <w14:schemeClr w14:val="tx1"/>
                  </w14:solidFill>
                </w14:textFill>
              </w:rPr>
              <w:t>包括公交车辆更新项目、金子湖车辆船舶更新项目、充电设备更新项目、全域智联光储充停车枢纽项目等。</w:t>
            </w:r>
          </w:p>
          <w:p w14:paraId="3319F018">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国土空间资源保障项目：</w:t>
            </w:r>
            <w:r>
              <w:rPr>
                <w:rFonts w:ascii="Times New Roman" w:hAnsi="Times New Roman" w:eastAsia="方正仿宋_GBK" w:cs="Times New Roman"/>
                <w:color w:val="000000" w:themeColor="text1"/>
                <w:sz w:val="28"/>
                <w:szCs w:val="28"/>
                <w14:textFill>
                  <w14:solidFill>
                    <w14:schemeClr w14:val="tx1"/>
                  </w14:solidFill>
                </w14:textFill>
              </w:rPr>
              <w:t>包括原欧陆厂区未利用地块产业开发项目、戴楼片区低效用地整理项目、吕良镇孙集村耕地占补平衡项目等。</w:t>
            </w:r>
          </w:p>
          <w:p w14:paraId="051CA82E">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零碳园区建设项目：</w:t>
            </w:r>
            <w:r>
              <w:rPr>
                <w:rFonts w:ascii="Times New Roman" w:hAnsi="Times New Roman" w:eastAsia="方正仿宋_GBK" w:cs="Times New Roman"/>
                <w:color w:val="000000" w:themeColor="text1"/>
                <w:sz w:val="28"/>
                <w:szCs w:val="28"/>
                <w14:textFill>
                  <w14:solidFill>
                    <w14:schemeClr w14:val="tx1"/>
                  </w14:solidFill>
                </w14:textFill>
              </w:rPr>
              <w:t>包括城东零碳园区</w:t>
            </w:r>
            <w:r>
              <w:rPr>
                <w:rFonts w:hint="eastAsia" w:ascii="Times New Roman" w:hAnsi="Times New Roman" w:eastAsia="方正仿宋_GBK" w:cs="Times New Roman"/>
                <w:color w:val="000000" w:themeColor="text1"/>
                <w:sz w:val="28"/>
                <w:szCs w:val="28"/>
                <w14:textFill>
                  <w14:solidFill>
                    <w14:schemeClr w14:val="tx1"/>
                  </w14:solidFill>
                </w14:textFill>
              </w:rPr>
              <w:t>项目</w:t>
            </w:r>
            <w:r>
              <w:rPr>
                <w:rFonts w:ascii="Times New Roman" w:hAnsi="Times New Roman" w:eastAsia="方正仿宋_GBK" w:cs="Times New Roman"/>
                <w:color w:val="000000" w:themeColor="text1"/>
                <w:sz w:val="28"/>
                <w:szCs w:val="28"/>
                <w14:textFill>
                  <w14:solidFill>
                    <w14:schemeClr w14:val="tx1"/>
                  </w14:solidFill>
                </w14:textFill>
              </w:rPr>
              <w:t>、科技产业园零碳园区项目、全县域新型电力系统试点项目、零碳县域自治示范区项目等。</w:t>
            </w:r>
          </w:p>
          <w:p w14:paraId="376CAFEC">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城市生活污水特许经营民转公承接项目：</w:t>
            </w:r>
            <w:r>
              <w:rPr>
                <w:rFonts w:ascii="Times New Roman" w:hAnsi="Times New Roman" w:eastAsia="方正仿宋_GBK" w:cs="Times New Roman"/>
                <w:color w:val="000000" w:themeColor="text1"/>
                <w:sz w:val="28"/>
                <w:szCs w:val="28"/>
                <w14:textFill>
                  <w14:solidFill>
                    <w14:schemeClr w14:val="tx1"/>
                  </w14:solidFill>
                </w14:textFill>
              </w:rPr>
              <w:t>围绕水质提升、工艺优化、设施升级等核心目标，实施第一污水处理厂提标改造工程，全面提升污水处理效能与环保标准。</w:t>
            </w:r>
          </w:p>
          <w:p w14:paraId="5FA5C7F3">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三里桥河水质净化服务特许经营项目：</w:t>
            </w:r>
            <w:r>
              <w:rPr>
                <w:rFonts w:ascii="Times New Roman" w:hAnsi="Times New Roman" w:eastAsia="方正仿宋_GBK" w:cs="Times New Roman"/>
                <w:color w:val="000000" w:themeColor="text1"/>
                <w:sz w:val="28"/>
                <w:szCs w:val="28"/>
                <w14:textFill>
                  <w14:solidFill>
                    <w14:schemeClr w14:val="tx1"/>
                  </w14:solidFill>
                </w14:textFill>
              </w:rPr>
              <w:t>围绕水质提升、工艺优化、设施升级等核心目标，对三里桥河水质净化站和初期雨水调蓄池开展提标改造，全面提升污水处理效能。</w:t>
            </w:r>
          </w:p>
          <w:p w14:paraId="75F49F99">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能源类项目：</w:t>
            </w:r>
            <w:r>
              <w:rPr>
                <w:rFonts w:ascii="Times New Roman" w:hAnsi="Times New Roman" w:eastAsia="方正仿宋_GBK" w:cs="Times New Roman"/>
                <w:color w:val="000000" w:themeColor="text1"/>
                <w:sz w:val="28"/>
                <w:szCs w:val="28"/>
                <w14:textFill>
                  <w14:solidFill>
                    <w14:schemeClr w14:val="tx1"/>
                  </w14:solidFill>
                </w14:textFill>
              </w:rPr>
              <w:t>包括江苏省油气开发产能建设项目、江苏油区苏北盆地金湖凹陷新区产能建设项目、屋面光伏发电项目、渔光互补光伏发电项目、风力发电项目、集中式光伏项目、光储一体化项目等。</w:t>
            </w:r>
          </w:p>
        </w:tc>
      </w:tr>
    </w:tbl>
    <w:p w14:paraId="3E96B8F7">
      <w:pPr>
        <w:rPr>
          <w:rFonts w:ascii="Times New Roman" w:hAnsi="Times New Roman" w:eastAsia="方正小标宋_GBK" w:cs="Times New Roman"/>
          <w:color w:val="000000" w:themeColor="text1"/>
          <w:sz w:val="36"/>
          <w:szCs w:val="36"/>
          <w14:textFill>
            <w14:solidFill>
              <w14:schemeClr w14:val="tx1"/>
            </w14:solidFill>
          </w14:textFill>
        </w:rPr>
      </w:pPr>
      <w:bookmarkStart w:id="118" w:name="_Toc214978105"/>
      <w:bookmarkStart w:id="119" w:name="_Toc213057402"/>
      <w:bookmarkStart w:id="120" w:name="_Toc1727825413"/>
      <w:bookmarkStart w:id="121" w:name="_Toc2055413531"/>
      <w:bookmarkStart w:id="122" w:name="_Toc213057412"/>
    </w:p>
    <w:p w14:paraId="7F7ECADC">
      <w:pPr>
        <w:rPr>
          <w:rFonts w:ascii="Times New Roman" w:hAnsi="Times New Roman" w:eastAsia="方正小标宋_GBK" w:cs="Times New Roman"/>
          <w:color w:val="000000" w:themeColor="text1"/>
          <w:sz w:val="36"/>
          <w:szCs w:val="36"/>
          <w14:textFill>
            <w14:solidFill>
              <w14:schemeClr w14:val="tx1"/>
            </w14:solidFill>
          </w14:textFill>
        </w:rPr>
      </w:pPr>
    </w:p>
    <w:p w14:paraId="22671187">
      <w:pPr>
        <w:rPr>
          <w:rFonts w:ascii="Times New Roman" w:hAnsi="Times New Roman" w:eastAsia="方正小标宋_GBK" w:cs="Times New Roman"/>
          <w:color w:val="000000" w:themeColor="text1"/>
          <w:sz w:val="36"/>
          <w:szCs w:val="36"/>
          <w14:textFill>
            <w14:solidFill>
              <w14:schemeClr w14:val="tx1"/>
            </w14:solidFill>
          </w14:textFill>
        </w:rPr>
      </w:pPr>
      <w:r>
        <w:rPr>
          <w:rFonts w:ascii="Times New Roman" w:hAnsi="Times New Roman" w:eastAsia="方正小标宋_GBK" w:cs="Times New Roman"/>
          <w:color w:val="000000" w:themeColor="text1"/>
          <w:sz w:val="36"/>
          <w:szCs w:val="36"/>
          <w14:textFill>
            <w14:solidFill>
              <w14:schemeClr w14:val="tx1"/>
            </w14:solidFill>
          </w14:textFill>
        </w:rPr>
        <w:br w:type="page"/>
      </w:r>
    </w:p>
    <w:p w14:paraId="67182389">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bookmarkStart w:id="123" w:name="_Toc218695871"/>
      <w:r>
        <w:rPr>
          <w:rFonts w:ascii="Times New Roman" w:hAnsi="Times New Roman" w:eastAsia="方正小标宋_GBK" w:cs="Times New Roman"/>
          <w:color w:val="000000" w:themeColor="text1"/>
          <w:sz w:val="36"/>
          <w:szCs w:val="36"/>
          <w14:textFill>
            <w14:solidFill>
              <w14:schemeClr w14:val="tx1"/>
            </w14:solidFill>
          </w14:textFill>
        </w:rPr>
        <w:t xml:space="preserve">第六篇  </w:t>
      </w:r>
      <w:bookmarkEnd w:id="118"/>
      <w:r>
        <w:rPr>
          <w:rFonts w:ascii="Times New Roman" w:hAnsi="Times New Roman" w:eastAsia="方正小标宋_GBK" w:cs="Times New Roman"/>
          <w:color w:val="000000" w:themeColor="text1"/>
          <w:sz w:val="36"/>
          <w:szCs w:val="36"/>
          <w14:textFill>
            <w14:solidFill>
              <w14:schemeClr w14:val="tx1"/>
            </w14:solidFill>
          </w14:textFill>
        </w:rPr>
        <w:t>强化互联互通 区域协同提升综合性枢纽能级</w:t>
      </w:r>
      <w:bookmarkEnd w:id="123"/>
    </w:p>
    <w:p w14:paraId="706DD97E">
      <w:pPr>
        <w:spacing w:line="560" w:lineRule="exact"/>
        <w:rPr>
          <w:rFonts w:ascii="Times New Roman" w:hAnsi="Times New Roman" w:eastAsia="方正小标宋_GBK" w:cs="Times New Roman"/>
          <w:color w:val="000000" w:themeColor="text1"/>
          <w:sz w:val="36"/>
          <w:szCs w:val="36"/>
          <w14:textFill>
            <w14:solidFill>
              <w14:schemeClr w14:val="tx1"/>
            </w14:solidFill>
          </w14:textFill>
        </w:rPr>
      </w:pPr>
      <w:bookmarkStart w:id="124" w:name="_Toc214978106"/>
      <w:bookmarkStart w:id="125" w:name="_Toc218695872"/>
    </w:p>
    <w:p w14:paraId="24182127">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 xml:space="preserve">第十二章 </w:t>
      </w:r>
      <w:bookmarkEnd w:id="119"/>
      <w:bookmarkEnd w:id="120"/>
      <w:bookmarkEnd w:id="124"/>
      <w:r>
        <w:rPr>
          <w:rFonts w:ascii="Times New Roman" w:hAnsi="Times New Roman" w:eastAsia="方正黑体_GBK" w:cs="Times New Roman"/>
          <w:color w:val="000000" w:themeColor="text1"/>
          <w:kern w:val="0"/>
          <w:sz w:val="32"/>
          <w:szCs w:val="32"/>
          <w14:textFill>
            <w14:solidFill>
              <w14:schemeClr w14:val="tx1"/>
            </w14:solidFill>
          </w14:textFill>
        </w:rPr>
        <w:t xml:space="preserve"> 开辟区域合作新空间</w:t>
      </w:r>
      <w:bookmarkEnd w:id="125"/>
    </w:p>
    <w:p w14:paraId="4CBC9B9A">
      <w:pPr>
        <w:spacing w:line="560" w:lineRule="exact"/>
        <w:ind w:firstLine="640" w:firstLineChars="200"/>
        <w:jc w:val="left"/>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紧抓长三角一体化、南京都市圈、江淮生态经济区、大运河文化带、淮河生态经济带等战略叠加机遇，围绕创新协同、产业协作、生态共保、设施联通，推动要素高效流动与资源优化配置，</w:t>
      </w:r>
      <w:bookmarkStart w:id="126" w:name="_Hlk217307605"/>
      <w:r>
        <w:rPr>
          <w:rFonts w:ascii="Times New Roman" w:hAnsi="Times New Roman" w:eastAsia="方正仿宋_GBK" w:cs="Times New Roman"/>
          <w:color w:val="000000" w:themeColor="text1"/>
          <w:sz w:val="32"/>
          <w:szCs w:val="32"/>
          <w14:textFill>
            <w14:solidFill>
              <w14:schemeClr w14:val="tx1"/>
            </w14:solidFill>
          </w14:textFill>
        </w:rPr>
        <w:t>主动参与深度融合、互利共赢的区域发展共同体</w:t>
      </w:r>
      <w:bookmarkEnd w:id="126"/>
      <w:r>
        <w:rPr>
          <w:rFonts w:ascii="Times New Roman" w:hAnsi="Times New Roman" w:eastAsia="方正仿宋_GBK" w:cs="Times New Roman"/>
          <w:color w:val="000000" w:themeColor="text1"/>
          <w:sz w:val="32"/>
          <w:szCs w:val="32"/>
          <w14:textFill>
            <w14:solidFill>
              <w14:schemeClr w14:val="tx1"/>
            </w14:solidFill>
          </w14:textFill>
        </w:rPr>
        <w:t>建设。</w:t>
      </w:r>
    </w:p>
    <w:p w14:paraId="7AAA32E4">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27" w:name="_Toc218695873"/>
      <w:r>
        <w:rPr>
          <w:rFonts w:ascii="Times New Roman" w:hAnsi="Times New Roman" w:eastAsia="方正楷体_GBK" w:cs="Times New Roman"/>
          <w:color w:val="000000" w:themeColor="text1"/>
          <w:kern w:val="0"/>
          <w:sz w:val="32"/>
          <w:szCs w:val="32"/>
          <w14:textFill>
            <w14:solidFill>
              <w14:schemeClr w14:val="tx1"/>
            </w14:solidFill>
          </w14:textFill>
        </w:rPr>
        <w:t>第一节  深入实施融入融合战略</w:t>
      </w:r>
      <w:bookmarkEnd w:id="127"/>
    </w:p>
    <w:p w14:paraId="6E6F4DC3">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深度融入长三角一体化发展。</w:t>
      </w:r>
      <w:r>
        <w:rPr>
          <w:rFonts w:ascii="Times New Roman" w:hAnsi="Times New Roman" w:eastAsia="方正仿宋_GBK" w:cs="Times New Roman"/>
          <w:color w:val="000000" w:themeColor="text1"/>
          <w:sz w:val="32"/>
          <w:szCs w:val="32"/>
          <w14:textFill>
            <w14:solidFill>
              <w14:schemeClr w14:val="tx1"/>
            </w14:solidFill>
          </w14:textFill>
        </w:rPr>
        <w:t>主动承接长三角核心区优质产业溢出与创新资源辐射，积极引进长三角地区科技成果与产业链项目，深化与长三角高校、科研机构产学研合作，共建技术转移中心或联合实验室。推进公共服务接轨融合，依托远程医疗、教育联盟等载体，逐步实现与长三角地区在医疗、教育等领域的信息互通、资源共享和标准互认，提升民生服务一体化水平。</w:t>
      </w:r>
    </w:p>
    <w:p w14:paraId="3F071246">
      <w:pPr>
        <w:spacing w:line="560" w:lineRule="exact"/>
        <w:ind w:firstLine="640" w:firstLineChars="200"/>
        <w:rPr>
          <w:rFonts w:ascii="Times New Roman" w:hAnsi="Times New Roman" w:eastAsia="方正楷体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纵深推进接轨南京都市圈。</w:t>
      </w:r>
      <w:r>
        <w:rPr>
          <w:rFonts w:ascii="Times New Roman" w:hAnsi="Times New Roman" w:eastAsia="方正仿宋_GBK" w:cs="Times New Roman"/>
          <w:color w:val="000000" w:themeColor="text1"/>
          <w:sz w:val="32"/>
          <w:szCs w:val="32"/>
          <w14:textFill>
            <w14:solidFill>
              <w14:schemeClr w14:val="tx1"/>
            </w14:solidFill>
          </w14:textFill>
        </w:rPr>
        <w:t>积极融入南京科创圈和宁淮科创走廊建设，深化与大院大所、创投机构、科技服务机构合作，持续吸引汇聚高端技术、人才等创新资源。用好用足全省“1+3”重点功能区建设、南北结对合作等政策，深化产业协作与链条对接，加强与南京江宁区、江北新区等重点经济板块合作，主动承接产业跨区域转移和生产要素优化配置，争取在政策试点、项目布局上获得优先支持，推动发展规划、市场规则、环保标准、公共服务等领域全面接轨。</w:t>
      </w:r>
    </w:p>
    <w:p w14:paraId="0D54D895">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28" w:name="_Toc218695874"/>
      <w:r>
        <w:rPr>
          <w:rFonts w:ascii="Times New Roman" w:hAnsi="Times New Roman" w:eastAsia="方正楷体_GBK" w:cs="Times New Roman"/>
          <w:color w:val="000000" w:themeColor="text1"/>
          <w:kern w:val="0"/>
          <w:sz w:val="32"/>
          <w:szCs w:val="32"/>
          <w14:textFill>
            <w14:solidFill>
              <w14:schemeClr w14:val="tx1"/>
            </w14:solidFill>
          </w14:textFill>
        </w:rPr>
        <w:t>第二节  探索区域合作发展</w:t>
      </w:r>
      <w:bookmarkEnd w:id="128"/>
    </w:p>
    <w:p w14:paraId="0B0574BE">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共建环高邮湖生态一体化示范区。</w:t>
      </w:r>
      <w:r>
        <w:rPr>
          <w:rFonts w:ascii="Times New Roman" w:hAnsi="Times New Roman" w:eastAsia="方正仿宋_GBK" w:cs="Times New Roman"/>
          <w:color w:val="000000" w:themeColor="text1"/>
          <w:sz w:val="32"/>
          <w:szCs w:val="32"/>
          <w14:textFill>
            <w14:solidFill>
              <w14:schemeClr w14:val="tx1"/>
            </w14:solidFill>
          </w14:textFill>
        </w:rPr>
        <w:t>深度参与苏皖毗邻区环高邮湖绿色发展协作区建设，共同推动绿色低碳转型。推动金湖县、高邮市、宝应县、天长市等地构建文旅资源共享平台，实现景区联票、宣传联动、客源互送、品牌共塑。建立健全高邮湖流域生态保护联防联控机制，统一水质监测与污染应急响应标准，共建跨区域生态廊道与生物多样性保护网络。协同开展湖泊清淤、增殖放流等生态修复工程，探索湿地碳汇、水生态补偿等价值实现机制。</w:t>
      </w:r>
    </w:p>
    <w:p w14:paraId="6B5C61BB">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共筑环白马湖生态经济示范区。</w:t>
      </w:r>
      <w:r>
        <w:rPr>
          <w:rFonts w:ascii="Times New Roman" w:hAnsi="Times New Roman" w:eastAsia="方正仿宋_GBK" w:cs="Times New Roman"/>
          <w:color w:val="000000" w:themeColor="text1"/>
          <w:sz w:val="32"/>
          <w:szCs w:val="32"/>
          <w14:textFill>
            <w14:solidFill>
              <w14:schemeClr w14:val="tx1"/>
            </w14:solidFill>
          </w14:textFill>
        </w:rPr>
        <w:t>深化与淮安区、洪泽区等周边地区协同发展，共同推进白马湖流域生态保护与系统修复，统筹环湖生态廊道规划建设标准，联合开展水生植被恢复与湖滨带生态拦截工程。共建“生态+文旅”融合发展平台，协同开发白马湖—高邮湖水上旅游航线、荷花季等跨区域特色线路与品牌活动，推动民宿集群、生态康养等业态互补互促。探索建立环湖产业准入与环保标准协同机制，共同招引培育绿色农业、低碳循环产业。</w:t>
      </w:r>
    </w:p>
    <w:p w14:paraId="521E326D">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共创沿三河及金宝航道对外开放协同平台。</w:t>
      </w:r>
      <w:r>
        <w:rPr>
          <w:rFonts w:ascii="Times New Roman" w:hAnsi="Times New Roman" w:eastAsia="方正仿宋_GBK" w:cs="Times New Roman"/>
          <w:color w:val="000000" w:themeColor="text1"/>
          <w:sz w:val="32"/>
          <w:szCs w:val="32"/>
          <w14:textFill>
            <w14:solidFill>
              <w14:schemeClr w14:val="tx1"/>
            </w14:solidFill>
          </w14:textFill>
        </w:rPr>
        <w:t>携手盱眙县、洪泽区整合口岸功能与物流资源，共建区域性进出口商品集散中心，推动三地在通关一体化、AEO认证培育等方面改革协同。联合开展经贸促进活动，共建海外仓与跨境供应链网络，推动能源装备、农产品等优势产品协同出口。探索组建区域对外开放合作联盟，共同争取省级开放型经济政策试点。</w:t>
      </w:r>
    </w:p>
    <w:p w14:paraId="6B816439">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楷体_GBK" w:cs="Times New Roman"/>
          <w:color w:val="000000" w:themeColor="text1"/>
          <w:kern w:val="0"/>
          <w:sz w:val="32"/>
          <w:szCs w:val="32"/>
          <w14:textFill>
            <w14:solidFill>
              <w14:schemeClr w14:val="tx1"/>
            </w14:solidFill>
          </w14:textFill>
        </w:rPr>
        <w:t>共推里下河毗邻地区城乡</w:t>
      </w:r>
      <w:r>
        <w:rPr>
          <w:rFonts w:ascii="Times New Roman" w:hAnsi="Times New Roman" w:eastAsia="方正楷体_GBK" w:cs="Times New Roman"/>
          <w:color w:val="000000" w:themeColor="text1"/>
          <w:kern w:val="0"/>
          <w:sz w:val="32"/>
          <w:szCs w:val="32"/>
          <w14:textFill>
            <w14:solidFill>
              <w14:schemeClr w14:val="tx1"/>
            </w14:solidFill>
          </w14:textFill>
        </w:rPr>
        <w:t>融合先行先试。</w:t>
      </w:r>
      <w:r>
        <w:rPr>
          <w:rFonts w:ascii="Times New Roman" w:hAnsi="Times New Roman" w:eastAsia="方正仿宋_GBK" w:cs="Times New Roman"/>
          <w:color w:val="000000" w:themeColor="text1"/>
          <w:sz w:val="32"/>
          <w:szCs w:val="32"/>
          <w14:textFill>
            <w14:solidFill>
              <w14:schemeClr w14:val="tx1"/>
            </w14:solidFill>
          </w14:textFill>
        </w:rPr>
        <w:t>与淮安区</w:t>
      </w:r>
      <w:r>
        <w:rPr>
          <w:rFonts w:hint="eastAsia" w:ascii="Times New Roman" w:hAnsi="Times New Roman" w:eastAsia="方正仿宋_GBK" w:cs="Times New Roman"/>
          <w:color w:val="000000" w:themeColor="text1"/>
          <w:sz w:val="32"/>
          <w:szCs w:val="32"/>
          <w14:textFill>
            <w14:solidFill>
              <w14:schemeClr w14:val="tx1"/>
            </w14:solidFill>
          </w14:textFill>
        </w:rPr>
        <w:t>、洪泽区</w:t>
      </w:r>
      <w:r>
        <w:rPr>
          <w:rFonts w:ascii="Times New Roman" w:hAnsi="Times New Roman" w:eastAsia="方正仿宋_GBK" w:cs="Times New Roman"/>
          <w:color w:val="000000" w:themeColor="text1"/>
          <w:sz w:val="32"/>
          <w:szCs w:val="32"/>
          <w14:textFill>
            <w14:solidFill>
              <w14:schemeClr w14:val="tx1"/>
            </w14:solidFill>
          </w14:textFill>
        </w:rPr>
        <w:t>、宝应县</w:t>
      </w:r>
      <w:r>
        <w:rPr>
          <w:rFonts w:hint="eastAsia" w:ascii="Times New Roman" w:hAnsi="Times New Roman" w:eastAsia="方正仿宋_GBK" w:cs="Times New Roman"/>
          <w:color w:val="000000" w:themeColor="text1"/>
          <w:sz w:val="32"/>
          <w:szCs w:val="32"/>
          <w14:textFill>
            <w14:solidFill>
              <w14:schemeClr w14:val="tx1"/>
            </w14:solidFill>
          </w14:textFill>
        </w:rPr>
        <w:t>等周边地区</w:t>
      </w:r>
      <w:r>
        <w:rPr>
          <w:rFonts w:ascii="Times New Roman" w:hAnsi="Times New Roman" w:eastAsia="方正仿宋_GBK" w:cs="Times New Roman"/>
          <w:color w:val="000000" w:themeColor="text1"/>
          <w:sz w:val="32"/>
          <w:szCs w:val="32"/>
          <w14:textFill>
            <w14:solidFill>
              <w14:schemeClr w14:val="tx1"/>
            </w14:solidFill>
          </w14:textFill>
        </w:rPr>
        <w:t>协同探索城乡融合改革机制，重点推动产业协同、设施互通与公共服务共享。共建仪表线缆等产业联盟，促进企业供需对接与产业链协作。共同推动龙虾、荷藕、稻米、芡实等农业品牌共建与产销联动，构建“生产基地+中央厨房+冷链配送”一体化供应链体系。推进跨区域医联体、教联体建设，提升区域公共服务一体化水平。</w:t>
      </w:r>
    </w:p>
    <w:p w14:paraId="073E0B6E">
      <w:pPr>
        <w:spacing w:line="560" w:lineRule="exact"/>
        <w:rPr>
          <w:rFonts w:ascii="Times New Roman" w:hAnsi="Times New Roman" w:cs="Times New Roman"/>
        </w:rPr>
      </w:pPr>
    </w:p>
    <w:p w14:paraId="5DEEDCBC">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129" w:name="_Toc214978107"/>
      <w:bookmarkStart w:id="130" w:name="_Toc265370386"/>
      <w:bookmarkStart w:id="131" w:name="_Toc213057404"/>
      <w:bookmarkStart w:id="132" w:name="_Toc218695875"/>
      <w:r>
        <w:rPr>
          <w:rFonts w:ascii="Times New Roman" w:hAnsi="Times New Roman" w:eastAsia="方正黑体_GBK" w:cs="Times New Roman"/>
          <w:color w:val="000000" w:themeColor="text1"/>
          <w:kern w:val="0"/>
          <w:sz w:val="32"/>
          <w:szCs w:val="32"/>
          <w14:textFill>
            <w14:solidFill>
              <w14:schemeClr w14:val="tx1"/>
            </w14:solidFill>
          </w14:textFill>
        </w:rPr>
        <w:t xml:space="preserve">第十三章 </w:t>
      </w:r>
      <w:bookmarkEnd w:id="129"/>
      <w:bookmarkEnd w:id="130"/>
      <w:bookmarkEnd w:id="131"/>
      <w:r>
        <w:rPr>
          <w:rFonts w:ascii="Times New Roman" w:hAnsi="Times New Roman" w:eastAsia="方正黑体_GBK" w:cs="Times New Roman"/>
          <w:color w:val="000000" w:themeColor="text1"/>
          <w:kern w:val="0"/>
          <w:sz w:val="32"/>
          <w:szCs w:val="32"/>
          <w14:textFill>
            <w14:solidFill>
              <w14:schemeClr w14:val="tx1"/>
            </w14:solidFill>
          </w14:textFill>
        </w:rPr>
        <w:t xml:space="preserve"> 夯实枢纽经济发展基础</w:t>
      </w:r>
      <w:bookmarkEnd w:id="132"/>
    </w:p>
    <w:p w14:paraId="2F970638">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健全和完善现代综合交通运输网络，统筹推进公路、铁路、航道等交通基础设施建设，高效畅通交通运输大动脉，进一步提高区域互联互通水平，推动交通枢纽与产业深度融合，加快塑造枢纽经济发展优势。</w:t>
      </w:r>
    </w:p>
    <w:p w14:paraId="4FD657BA">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33" w:name="_Toc218695876"/>
      <w:r>
        <w:rPr>
          <w:rFonts w:ascii="Times New Roman" w:hAnsi="Times New Roman" w:eastAsia="方正楷体_GBK" w:cs="Times New Roman"/>
          <w:color w:val="000000" w:themeColor="text1"/>
          <w:kern w:val="0"/>
          <w:sz w:val="32"/>
          <w:szCs w:val="32"/>
          <w14:textFill>
            <w14:solidFill>
              <w14:schemeClr w14:val="tx1"/>
            </w14:solidFill>
          </w14:textFill>
        </w:rPr>
        <w:t>第一节  优先衔接主干交通网</w:t>
      </w:r>
      <w:bookmarkEnd w:id="133"/>
    </w:p>
    <w:p w14:paraId="6CF05C0D">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完善</w:t>
      </w:r>
      <w:bookmarkStart w:id="134" w:name="OLE_LINK12"/>
      <w:r>
        <w:rPr>
          <w:rFonts w:ascii="Times New Roman" w:hAnsi="Times New Roman" w:eastAsia="方正楷体_GBK" w:cs="Times New Roman"/>
          <w:color w:val="000000" w:themeColor="text1"/>
          <w:sz w:val="32"/>
          <w:szCs w:val="32"/>
          <w14:textFill>
            <w14:solidFill>
              <w14:schemeClr w14:val="tx1"/>
            </w14:solidFill>
          </w14:textFill>
        </w:rPr>
        <w:t>公路铁路交通</w:t>
      </w:r>
      <w:bookmarkEnd w:id="134"/>
      <w:r>
        <w:rPr>
          <w:rFonts w:ascii="Times New Roman" w:hAnsi="Times New Roman" w:eastAsia="方正楷体_GBK" w:cs="Times New Roman"/>
          <w:color w:val="000000" w:themeColor="text1"/>
          <w:sz w:val="32"/>
          <w:szCs w:val="32"/>
          <w14:textFill>
            <w14:solidFill>
              <w14:schemeClr w14:val="tx1"/>
            </w14:solidFill>
          </w14:textFill>
        </w:rPr>
        <w:t>网络。</w:t>
      </w:r>
      <w:r>
        <w:rPr>
          <w:rFonts w:ascii="Times New Roman" w:hAnsi="Times New Roman" w:eastAsia="方正仿宋_GBK" w:cs="Times New Roman"/>
          <w:color w:val="000000" w:themeColor="text1"/>
          <w:sz w:val="32"/>
          <w:szCs w:val="32"/>
          <w14:textFill>
            <w14:solidFill>
              <w14:schemeClr w14:val="tx1"/>
            </w14:solidFill>
          </w14:textFill>
        </w:rPr>
        <w:t>全力服务保障宁淮高铁建成运营，力争沿淮铁路纳入国家规划。推进盐蚌高速等重点交通工程建设，建成金湖至禄口机场高速公路金湖段、331省道金湖东段，以“一横一纵”高速通道、“两横两纵”的国省干道提升公路运输效能。</w:t>
      </w:r>
      <w:r>
        <w:rPr>
          <w:rFonts w:hint="eastAsia" w:ascii="Times New Roman" w:hAnsi="Times New Roman" w:eastAsia="方正仿宋_GBK" w:cs="Times New Roman"/>
          <w:color w:val="000000" w:themeColor="text1"/>
          <w:sz w:val="32"/>
          <w:szCs w:val="32"/>
          <w14:textFill>
            <w14:solidFill>
              <w14:schemeClr w14:val="tx1"/>
            </w14:solidFill>
          </w14:textFill>
        </w:rPr>
        <w:t>推进</w:t>
      </w:r>
      <w:r>
        <w:rPr>
          <w:rFonts w:ascii="Times New Roman" w:hAnsi="Times New Roman" w:eastAsia="方正仿宋_GBK" w:cs="Times New Roman"/>
          <w:color w:val="000000" w:themeColor="text1"/>
          <w:sz w:val="32"/>
          <w:szCs w:val="32"/>
          <w14:textFill>
            <w14:solidFill>
              <w14:schemeClr w14:val="tx1"/>
            </w14:solidFill>
          </w14:textFill>
        </w:rPr>
        <w:t>宁淮二通道淮安至金湖段高速</w:t>
      </w:r>
      <w:r>
        <w:rPr>
          <w:rFonts w:hint="eastAsia" w:ascii="Times New Roman" w:hAnsi="Times New Roman" w:eastAsia="方正仿宋_GBK" w:cs="Times New Roman"/>
          <w:color w:val="000000" w:themeColor="text1"/>
          <w:sz w:val="32"/>
          <w:szCs w:val="32"/>
          <w14:textFill>
            <w14:solidFill>
              <w14:schemeClr w14:val="tx1"/>
            </w14:solidFill>
          </w14:textFill>
        </w:rPr>
        <w:t>前期研究</w:t>
      </w:r>
      <w:r>
        <w:rPr>
          <w:rFonts w:ascii="Times New Roman" w:hAnsi="Times New Roman" w:eastAsia="方正仿宋_GBK" w:cs="Times New Roman"/>
          <w:color w:val="000000" w:themeColor="text1"/>
          <w:sz w:val="32"/>
          <w:szCs w:val="32"/>
          <w14:textFill>
            <w14:solidFill>
              <w14:schemeClr w14:val="tx1"/>
            </w14:solidFill>
          </w14:textFill>
        </w:rPr>
        <w:t>。加强与扬州等长三角城市联系更便捷紧密的南向通道跨高邮湖大桥谋划。</w:t>
      </w:r>
    </w:p>
    <w:p w14:paraId="5C0844A0">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加强路网跨界衔接。</w:t>
      </w:r>
      <w:r>
        <w:rPr>
          <w:rFonts w:ascii="Times New Roman" w:hAnsi="Times New Roman" w:eastAsia="方正仿宋_GBK" w:cs="Times New Roman"/>
          <w:color w:val="000000" w:themeColor="text1"/>
          <w:sz w:val="32"/>
          <w:szCs w:val="32"/>
          <w14:textFill>
            <w14:solidFill>
              <w14:schemeClr w14:val="tx1"/>
            </w14:solidFill>
          </w14:textFill>
        </w:rPr>
        <w:t>积极规划建设与省级主干交通网、毗邻中心城镇通道衔接配套的跨界路网</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建成宁淮铁路金湖站综合客运枢纽站前广场、停车场、公交场站等基础设施，以及与枢纽配套的水系、下穿通道、市政道路等枢纽工程。协同推进环高邮湖路网统一标准与贯通工程，推动沿线停车设施共建共享，提升环湖交通服务能力。</w:t>
      </w:r>
    </w:p>
    <w:p w14:paraId="443D892A">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推进低空基础设施建设。</w:t>
      </w:r>
      <w:r>
        <w:rPr>
          <w:rFonts w:ascii="Times New Roman" w:hAnsi="Times New Roman" w:eastAsia="方正仿宋_GBK" w:cs="Times New Roman"/>
          <w:color w:val="000000" w:themeColor="text1"/>
          <w:sz w:val="32"/>
          <w:szCs w:val="32"/>
          <w14:textFill>
            <w14:solidFill>
              <w14:schemeClr w14:val="tx1"/>
            </w14:solidFill>
          </w14:textFill>
        </w:rPr>
        <w:t>用好通用机场，加快A类通用机场使用许可证办理流程。统筹布局地面起降设施，加快推进通用机场、直升机起降点、无人机停机坪等硬件设施建设和完善。有序推进低空通信、导航、监视、气象、电磁等设施建设，不断扩大低空通信、导航和监控网络覆盖范围，提升低空飞行智能化管理水平。到2030年，推动开辟3条以上低空航线，建成12个以上航空器起降点。</w:t>
      </w:r>
    </w:p>
    <w:p w14:paraId="07C3DE56">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35" w:name="_Toc218695877"/>
      <w:r>
        <w:rPr>
          <w:rFonts w:ascii="Times New Roman" w:hAnsi="Times New Roman" w:eastAsia="方正楷体_GBK" w:cs="Times New Roman"/>
          <w:color w:val="000000" w:themeColor="text1"/>
          <w:kern w:val="0"/>
          <w:sz w:val="32"/>
          <w:szCs w:val="32"/>
          <w14:textFill>
            <w14:solidFill>
              <w14:schemeClr w14:val="tx1"/>
            </w14:solidFill>
          </w14:textFill>
        </w:rPr>
        <w:t>第二节  推动联河通江发展</w:t>
      </w:r>
      <w:bookmarkEnd w:id="135"/>
    </w:p>
    <w:p w14:paraId="00354710">
      <w:pPr>
        <w:autoSpaceDE w:val="0"/>
        <w:autoSpaceDN w:val="0"/>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提升航道运输能力。</w:t>
      </w:r>
      <w:r>
        <w:rPr>
          <w:rFonts w:ascii="Times New Roman" w:hAnsi="Times New Roman" w:eastAsia="方正仿宋_GBK" w:cs="Times New Roman"/>
          <w:color w:val="000000" w:themeColor="text1"/>
          <w:sz w:val="32"/>
          <w:szCs w:val="32"/>
          <w14:textFill>
            <w14:solidFill>
              <w14:schemeClr w14:val="tx1"/>
            </w14:solidFill>
          </w14:textFill>
        </w:rPr>
        <w:t>加快构建形成以金宝线、淮河入江水道以及邮金线组成的“T字形”为主干，大汕子河、军民河等为支线的畅通高效航道网。持续推进金宝航道整治工程金湖段桥梁、航道工程建设，建成石港船闸</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宝红桥、东荡生产桥、左家渡生产桥、金唐公路桥和节点绿化工程。面向多层次运输需求，建成金湖水上服务区，进一步开展航道疏浚、护岸建设及标志标牌设置。</w:t>
      </w:r>
    </w:p>
    <w:p w14:paraId="16F3DEAC">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完善港口码头功能。</w:t>
      </w:r>
      <w:r>
        <w:rPr>
          <w:rFonts w:ascii="Times New Roman" w:hAnsi="Times New Roman" w:eastAsia="方正仿宋_GBK" w:cs="Times New Roman"/>
          <w:color w:val="000000" w:themeColor="text1"/>
          <w:sz w:val="32"/>
          <w:szCs w:val="32"/>
          <w14:textFill>
            <w14:solidFill>
              <w14:schemeClr w14:val="tx1"/>
            </w14:solidFill>
          </w14:textFill>
        </w:rPr>
        <w:t>强化港口集疏运系统，打通“干支衔接”的县域水运网，对接连通淮安港等枢纽港口。提升金湖港口集群综合服务能力，打造淮河生态经济带内河枢纽港。推进金湖新港运行、银涂港规划建设，加大整合力度规范利用港口岸线资源。集中治理小散乱码头，促进规模化公用港区（码头）建设。</w:t>
      </w:r>
    </w:p>
    <w:p w14:paraId="24B22642">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提升防洪排涝能力。</w:t>
      </w:r>
      <w:r>
        <w:rPr>
          <w:rFonts w:ascii="Times New Roman" w:hAnsi="Times New Roman" w:eastAsia="方正仿宋_GBK" w:cs="Times New Roman"/>
          <w:color w:val="000000" w:themeColor="text1"/>
          <w:sz w:val="32"/>
          <w:szCs w:val="32"/>
          <w14:textFill>
            <w14:solidFill>
              <w14:schemeClr w14:val="tx1"/>
            </w14:solidFill>
          </w14:textFill>
        </w:rPr>
        <w:t>积极实施流域防洪工程，完善外围防洪屏障，提升抵御外洪能力。推进实施淮河入江水道堤防维修加固工程，提升堤防挡洪能力。巩固县城区50年一遇防洪标准、20年一遇排涝标准，持续推进“不淹不涝”城市建设，解决片区高低水混排、河道过流能力不足等问题，提升城市防洪排涝能力。</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7F14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5000" w:type="pct"/>
            <w:vAlign w:val="center"/>
          </w:tcPr>
          <w:p w14:paraId="6172758B">
            <w:pPr>
              <w:tabs>
                <w:tab w:val="right" w:pos="8205"/>
              </w:tabs>
              <w:spacing w:line="400" w:lineRule="exact"/>
              <w:jc w:val="center"/>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28"/>
                <w:szCs w:val="28"/>
                <w14:textFill>
                  <w14:solidFill>
                    <w14:schemeClr w14:val="tx1"/>
                  </w14:solidFill>
                </w14:textFill>
              </w:rPr>
              <w:t>专栏8：“十五五”重大基础设施工程项目</w:t>
            </w:r>
          </w:p>
        </w:tc>
      </w:tr>
      <w:tr w14:paraId="2B54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tcPr>
          <w:p w14:paraId="44AAE4F1">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水网：</w:t>
            </w:r>
            <w:r>
              <w:rPr>
                <w:rFonts w:ascii="Times New Roman" w:hAnsi="Times New Roman" w:eastAsia="方正仿宋_GBK" w:cs="Times New Roman"/>
                <w:color w:val="000000" w:themeColor="text1"/>
                <w:sz w:val="28"/>
                <w:szCs w:val="28"/>
                <w14:textFill>
                  <w14:solidFill>
                    <w14:schemeClr w14:val="tx1"/>
                  </w14:solidFill>
                </w14:textFill>
              </w:rPr>
              <w:t>包括洪金灌区金湖灌片现代化改造工程、淮南圩灌区续建配套与现代化改造项目、郑家圩灌区续建配套与现代化改造项目、白马湖高宝湖地区洼地治理工程、淮河入江水道维修加固项目、金宝航线金湖段航道整治工程、淮安市草泽河治理工程（金湖县境内）、流域性河道堤防薄弱环节加固工程、淮河入江水道沿线病险建筑物除险工程、神华排涝河水系连通工程、西海水库节制闸新建工程、东海水库片区水系调整工程、河道拓宽整治工程等。</w:t>
            </w:r>
          </w:p>
          <w:p w14:paraId="6B1DB8F5">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路网：</w:t>
            </w:r>
            <w:r>
              <w:rPr>
                <w:rFonts w:ascii="Times New Roman" w:hAnsi="Times New Roman" w:eastAsia="方正仿宋_GBK" w:cs="Times New Roman"/>
                <w:color w:val="000000" w:themeColor="text1"/>
                <w:sz w:val="28"/>
                <w:szCs w:val="28"/>
                <w14:textFill>
                  <w14:solidFill>
                    <w14:schemeClr w14:val="tx1"/>
                  </w14:solidFill>
                </w14:textFill>
              </w:rPr>
              <w:t>包括331省道金湖东段改扩建工程、宁淮高铁金湖站综合客运枢纽配套附属工程、盐城至蚌埠高速公路宝应至金湖段项目、金湖至禄口机场高速公路金湖段项目、金湖通用机场水上飞机跑道工程、银涂工业园路网完善工程等。</w:t>
            </w:r>
          </w:p>
          <w:p w14:paraId="6E4D6CD0">
            <w:pPr>
              <w:spacing w:line="400" w:lineRule="exact"/>
              <w:ind w:firstLine="516"/>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楷体_GBK" w:cs="Times New Roman"/>
                <w:color w:val="000000" w:themeColor="text1"/>
                <w:sz w:val="28"/>
                <w:szCs w:val="28"/>
                <w14:textFill>
                  <w14:solidFill>
                    <w14:schemeClr w14:val="tx1"/>
                  </w14:solidFill>
                </w14:textFill>
              </w:rPr>
              <w:t>港口：</w:t>
            </w:r>
            <w:r>
              <w:rPr>
                <w:rFonts w:ascii="Times New Roman" w:hAnsi="Times New Roman" w:eastAsia="方正仿宋_GBK" w:cs="Times New Roman"/>
                <w:color w:val="000000" w:themeColor="text1"/>
                <w:sz w:val="28"/>
                <w:szCs w:val="28"/>
                <w14:textFill>
                  <w14:solidFill>
                    <w14:schemeClr w14:val="tx1"/>
                  </w14:solidFill>
                </w14:textFill>
              </w:rPr>
              <w:t>包括临港产业配套厂房建设及船舶污染物接收船项目、港口物流生态零碳服务区项目、港口岸线县域一体化经营项目、淮安港金湖港区金湖银涂港口工程等。</w:t>
            </w:r>
          </w:p>
        </w:tc>
      </w:tr>
    </w:tbl>
    <w:p w14:paraId="5CBF42BF">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36" w:name="_Toc218695878"/>
      <w:r>
        <w:rPr>
          <w:rFonts w:ascii="Times New Roman" w:hAnsi="Times New Roman" w:eastAsia="方正楷体_GBK" w:cs="Times New Roman"/>
          <w:color w:val="000000" w:themeColor="text1"/>
          <w:kern w:val="0"/>
          <w:sz w:val="32"/>
          <w:szCs w:val="32"/>
          <w14:textFill>
            <w14:solidFill>
              <w14:schemeClr w14:val="tx1"/>
            </w14:solidFill>
          </w14:textFill>
        </w:rPr>
        <w:t>第三节  提升枢纽经济发展水平</w:t>
      </w:r>
      <w:bookmarkEnd w:id="136"/>
    </w:p>
    <w:p w14:paraId="30708270">
      <w:pPr>
        <w:spacing w:line="560" w:lineRule="exact"/>
        <w:ind w:firstLine="640" w:firstLineChars="200"/>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大力发展高铁经济。</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以宁淮城际铁路建设为契机，依托金湖站综合客运枢纽，</w:t>
      </w:r>
      <w:r>
        <w:rPr>
          <w:rFonts w:ascii="Times New Roman" w:hAnsi="Times New Roman" w:eastAsia="方正仿宋_GBK" w:cs="Times New Roman"/>
          <w:color w:val="000000" w:themeColor="text1"/>
          <w:sz w:val="32"/>
          <w:szCs w:val="32"/>
          <w14:textFill>
            <w14:solidFill>
              <w14:schemeClr w14:val="tx1"/>
            </w14:solidFill>
          </w14:textFill>
        </w:rPr>
        <w:t>突出高铁产站融合，</w:t>
      </w:r>
      <w:r>
        <w:rPr>
          <w:rFonts w:hint="eastAsia" w:ascii="Times New Roman" w:hAnsi="Times New Roman" w:eastAsia="方正仿宋_GBK" w:cs="Times New Roman"/>
          <w:color w:val="000000" w:themeColor="text1"/>
          <w:sz w:val="32"/>
          <w:szCs w:val="32"/>
          <w14:textFill>
            <w14:solidFill>
              <w14:schemeClr w14:val="tx1"/>
            </w14:solidFill>
          </w14:textFill>
        </w:rPr>
        <w:t>谋划</w:t>
      </w:r>
      <w:r>
        <w:rPr>
          <w:rFonts w:ascii="Times New Roman" w:hAnsi="Times New Roman" w:eastAsia="方正仿宋_GBK" w:cs="Times New Roman"/>
          <w:color w:val="000000" w:themeColor="text1"/>
          <w:sz w:val="32"/>
          <w:szCs w:val="32"/>
          <w14:textFill>
            <w14:solidFill>
              <w14:schemeClr w14:val="tx1"/>
            </w14:solidFill>
          </w14:textFill>
        </w:rPr>
        <w:t>推进高铁快运物流基地</w:t>
      </w:r>
      <w:r>
        <w:rPr>
          <w:rFonts w:hint="eastAsia" w:ascii="Times New Roman" w:hAnsi="Times New Roman" w:eastAsia="方正仿宋_GBK" w:cs="Times New Roman"/>
          <w:color w:val="000000" w:themeColor="text1"/>
          <w:sz w:val="32"/>
          <w:szCs w:val="32"/>
          <w14:textFill>
            <w14:solidFill>
              <w14:schemeClr w14:val="tx1"/>
            </w14:solidFill>
          </w14:textFill>
        </w:rPr>
        <w:t>规划</w:t>
      </w:r>
      <w:r>
        <w:rPr>
          <w:rFonts w:ascii="Times New Roman" w:hAnsi="Times New Roman" w:eastAsia="方正仿宋_GBK" w:cs="Times New Roman"/>
          <w:color w:val="000000" w:themeColor="text1"/>
          <w:sz w:val="32"/>
          <w:szCs w:val="32"/>
          <w14:textFill>
            <w14:solidFill>
              <w14:schemeClr w14:val="tx1"/>
            </w14:solidFill>
          </w14:textFill>
        </w:rPr>
        <w:t>建设</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，构建层级合理、规模适当、匹配需求的高铁快</w:t>
      </w:r>
      <w:r>
        <w:rPr>
          <w:rFonts w:hint="eastAsia"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运</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物流网络。发挥高铁带来的极化和扩散效应，主动承接南京都市圈乃至长三角地区产业转移</w:t>
      </w:r>
      <w:r>
        <w:rPr>
          <w:rFonts w:hint="eastAsia"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加大信息科技、商务商贸、文化创意、总部经济和数字经济企业引进力度，导入康养宜居、休闲娱乐、旅游服务等功能。</w:t>
      </w:r>
    </w:p>
    <w:p w14:paraId="6748CF7D">
      <w:pPr>
        <w:spacing w:line="560" w:lineRule="exact"/>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加快发展临空经济。</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立足金湖国家级通用航空机场的优势，</w:t>
      </w:r>
      <w:r>
        <w:rPr>
          <w:rFonts w:ascii="Times New Roman" w:hAnsi="Times New Roman" w:eastAsia="方正仿宋_GBK" w:cs="Times New Roman"/>
          <w:color w:val="000000" w:themeColor="text1"/>
          <w:sz w:val="32"/>
          <w:szCs w:val="32"/>
          <w14:textFill>
            <w14:solidFill>
              <w14:schemeClr w14:val="tx1"/>
            </w14:solidFill>
          </w14:textFill>
        </w:rPr>
        <w:t>与涟水机场联动，</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重点发展应急救援、航空农业、短途运输、飞行培训、航空维修等通用航空业务。积极发展临空研发制造业，围绕通用飞机主体结构件制造、功能性结构件制造、航电系统制造等领域，推进航空关键零部件制造产业发展。积极发展与通用航空关系密切的现代会展业，加快促进具有通航特色的高端</w:t>
      </w:r>
      <w:r>
        <w:rPr>
          <w:rFonts w:hint="eastAsia"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现代</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服务业发展，积极培育打造集商贸零售、餐饮、娱乐、休闲等功能于一体的现代化商业设施，增强金湖通用机场的“亮点”。</w:t>
      </w:r>
    </w:p>
    <w:p w14:paraId="6F4CCF37">
      <w:pPr>
        <w:spacing w:line="560" w:lineRule="exact"/>
        <w:ind w:firstLine="640" w:firstLineChars="200"/>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提升发展临港经济。</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提升港口物流业发展质效，加快推进航道升级改造，推动金湖千吨级码头建设</w:t>
      </w:r>
      <w:r>
        <w:rPr>
          <w:rFonts w:hint="eastAsia"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加快推进综合泊位、堆场的建设，提升港口集装箱物流服务能力，全力打造金湖内河集装箱运输体系。依托港口物流园，大力</w:t>
      </w:r>
      <w:r>
        <w:rPr>
          <w:rFonts w:ascii="Times New Roman" w:hAnsi="Times New Roman" w:eastAsia="方正仿宋_GBK" w:cs="Times New Roman"/>
          <w:color w:val="000000" w:themeColor="text1"/>
          <w:sz w:val="32"/>
          <w:szCs w:val="32"/>
          <w14:textFill>
            <w14:solidFill>
              <w14:schemeClr w14:val="tx1"/>
            </w14:solidFill>
          </w14:textFill>
        </w:rPr>
        <w:t>推动</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农产品加工、水产品冷链、高端装备制造等临港产业</w:t>
      </w:r>
      <w:r>
        <w:rPr>
          <w:rFonts w:ascii="Times New Roman" w:hAnsi="Times New Roman" w:eastAsia="方正仿宋_GBK" w:cs="Times New Roman"/>
          <w:color w:val="000000" w:themeColor="text1"/>
          <w:sz w:val="32"/>
          <w:szCs w:val="32"/>
          <w14:textFill>
            <w14:solidFill>
              <w14:schemeClr w14:val="tx1"/>
            </w14:solidFill>
          </w14:textFill>
        </w:rPr>
        <w:t>向港口周边区域加速集聚</w:t>
      </w:r>
      <w:r>
        <w:rPr>
          <w:rFonts w:ascii="Times New Roman" w:hAnsi="Times New Roman" w:eastAsia="仿宋" w:cs="Times New Roman"/>
          <w:color w:val="000000" w:themeColor="text1"/>
          <w:spacing w:val="-2"/>
          <w:kern w:val="0"/>
          <w:sz w:val="32"/>
          <w:szCs w:val="32"/>
          <w:shd w:val="clear" w:color="auto" w:fill="FFFFFF"/>
          <w14:textFill>
            <w14:solidFill>
              <w14:schemeClr w14:val="tx1"/>
            </w14:solidFill>
          </w14:textFill>
        </w:rPr>
        <w:t>。促进航运业与电子商务、金融服务等高端服务业融合，创新航运金融保险服务，丰富航运保险产品。建设智慧港口示范工程，推进港口航运服务信息化、智能化、自动化。</w:t>
      </w:r>
    </w:p>
    <w:p w14:paraId="1B1E7903">
      <w:pPr>
        <w:pStyle w:val="29"/>
        <w:rPr>
          <w:rFonts w:ascii="Times New Roman" w:hAnsi="Times New Roman" w:cs="Times New Roman"/>
        </w:rPr>
      </w:pPr>
    </w:p>
    <w:p w14:paraId="70B664E4">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137" w:name="_Toc214978108"/>
      <w:bookmarkStart w:id="138" w:name="_Toc218695879"/>
      <w:r>
        <w:rPr>
          <w:rFonts w:ascii="Times New Roman" w:hAnsi="Times New Roman" w:eastAsia="方正黑体_GBK" w:cs="Times New Roman"/>
          <w:color w:val="000000" w:themeColor="text1"/>
          <w:kern w:val="0"/>
          <w:sz w:val="32"/>
          <w:szCs w:val="32"/>
          <w14:textFill>
            <w14:solidFill>
              <w14:schemeClr w14:val="tx1"/>
            </w14:solidFill>
          </w14:textFill>
        </w:rPr>
        <w:t>第十四章  打造新型智慧县域样板</w:t>
      </w:r>
      <w:bookmarkEnd w:id="137"/>
      <w:bookmarkEnd w:id="138"/>
    </w:p>
    <w:p w14:paraId="20497F08">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抢抓人工智能发展的历史性机遇，推动人工智能与经济社会各行业各领域广泛深度融合，以工业大数据、人工智能赋能新型工业化为主攻方向，推进数实融合应用。到2030年，数字经济核心产业企业营业收入占比达到7%。</w:t>
      </w:r>
    </w:p>
    <w:p w14:paraId="3E9B27A7">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39" w:name="_Toc218695880"/>
      <w:r>
        <w:rPr>
          <w:rFonts w:ascii="Times New Roman" w:hAnsi="Times New Roman" w:eastAsia="方正楷体_GBK" w:cs="Times New Roman"/>
          <w:color w:val="000000" w:themeColor="text1"/>
          <w:kern w:val="0"/>
          <w:sz w:val="32"/>
          <w:szCs w:val="32"/>
          <w14:textFill>
            <w14:solidFill>
              <w14:schemeClr w14:val="tx1"/>
            </w14:solidFill>
          </w14:textFill>
        </w:rPr>
        <w:t>第一节  构建制造业数智化生态</w:t>
      </w:r>
      <w:bookmarkEnd w:id="139"/>
    </w:p>
    <w:p w14:paraId="614D1206">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实施智能化改造提升行动。</w:t>
      </w:r>
      <w:r>
        <w:rPr>
          <w:rFonts w:ascii="Times New Roman" w:hAnsi="Times New Roman" w:eastAsia="方正仿宋_GBK" w:cs="Times New Roman"/>
          <w:color w:val="000000" w:themeColor="text1"/>
          <w:sz w:val="32"/>
          <w:szCs w:val="32"/>
          <w14:textFill>
            <w14:solidFill>
              <w14:schemeClr w14:val="tx1"/>
            </w14:solidFill>
          </w14:textFill>
        </w:rPr>
        <w:t>动态建立“基础级—先进级—卓越级—领航级”智能工厂梯度培育库。鼓励引导制造业企业参考智能制造能力成熟度评估结果，摸清企业智能化发展水平，识别转型痛点需求和应用场景，制定智能工厂建设提升计划，推进高端化技术改造，加大技改政策引导力度，持续组织实施一批重点技改项目。</w:t>
      </w:r>
    </w:p>
    <w:p w14:paraId="64B960A5">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实施数字化转型应用行动。</w:t>
      </w:r>
      <w:r>
        <w:rPr>
          <w:rFonts w:ascii="Times New Roman" w:hAnsi="Times New Roman" w:eastAsia="方正仿宋_GBK" w:cs="Times New Roman"/>
          <w:color w:val="000000" w:themeColor="text1"/>
          <w:sz w:val="32"/>
          <w:szCs w:val="32"/>
          <w14:textFill>
            <w14:solidFill>
              <w14:schemeClr w14:val="tx1"/>
            </w14:solidFill>
          </w14:textFill>
        </w:rPr>
        <w:t>分层次深化企业数字化转型，面向中小微企业推广普惠性“上云用数赋智”服务，推动创新型中小企业初始级转型、省级专精特新中小企业规范级转型、国家专精特新“小巨人”企业集成级转型。鼓励企业在产品生命周期、生产执行、供应链和管理决策等持续提升数字化水平，支持“一群一策”开展数字化协同改造，带动金湖上下游企业实现链式转型。</w:t>
      </w:r>
    </w:p>
    <w:p w14:paraId="36BD8C6F">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实施网络化联接提升行动。</w:t>
      </w:r>
      <w:r>
        <w:rPr>
          <w:rFonts w:ascii="Times New Roman" w:hAnsi="Times New Roman" w:eastAsia="方正仿宋_GBK" w:cs="Times New Roman"/>
          <w:color w:val="000000" w:themeColor="text1"/>
          <w:sz w:val="32"/>
          <w:szCs w:val="32"/>
          <w14:textFill>
            <w14:solidFill>
              <w14:schemeClr w14:val="tx1"/>
            </w14:solidFill>
          </w14:textFill>
        </w:rPr>
        <w:t>加快千兆光网和5G网络深度覆盖，分阶段推进万兆光网和5G</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A等技术商用部署，优化宽带、数据中心等网络基础设施布局。加速工业互联网创新赋能，引导规上工业企业开展工业互联网平台建设，深化双跨级、区域级、行业级工业互联网平台梯度培育，提升平台赋能水平。</w:t>
      </w:r>
    </w:p>
    <w:p w14:paraId="20C146C8">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40" w:name="_Toc218695881"/>
      <w:r>
        <w:rPr>
          <w:rFonts w:ascii="Times New Roman" w:hAnsi="Times New Roman" w:eastAsia="方正楷体_GBK" w:cs="Times New Roman"/>
          <w:color w:val="000000" w:themeColor="text1"/>
          <w:kern w:val="0"/>
          <w:sz w:val="32"/>
          <w:szCs w:val="32"/>
          <w14:textFill>
            <w14:solidFill>
              <w14:schemeClr w14:val="tx1"/>
            </w14:solidFill>
          </w14:textFill>
        </w:rPr>
        <w:t>第二节  推进数实融合深度发展</w:t>
      </w:r>
      <w:bookmarkEnd w:id="140"/>
    </w:p>
    <w:p w14:paraId="31C532EF">
      <w:pPr>
        <w:pStyle w:val="29"/>
        <w:tabs>
          <w:tab w:val="left" w:pos="7088"/>
        </w:tabs>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推进数实融合应用。</w:t>
      </w:r>
      <w:r>
        <w:rPr>
          <w:rFonts w:ascii="Times New Roman" w:hAnsi="Times New Roman" w:eastAsia="方正仿宋_GBK" w:cs="Times New Roman"/>
          <w:color w:val="000000" w:themeColor="text1"/>
          <w:kern w:val="0"/>
          <w:sz w:val="32"/>
          <w:szCs w:val="32"/>
          <w14:textFill>
            <w14:solidFill>
              <w14:schemeClr w14:val="tx1"/>
            </w14:solidFill>
          </w14:textFill>
        </w:rPr>
        <w:t>加快“数字金湖”建设，推动5G、物联网等技术与经济社会发展深度融合。</w:t>
      </w:r>
      <w:r>
        <w:rPr>
          <w:rFonts w:ascii="Times New Roman" w:hAnsi="Times New Roman" w:eastAsia="方正仿宋_GBK" w:cs="Times New Roman"/>
          <w:color w:val="000000" w:themeColor="text1"/>
          <w:sz w:val="32"/>
          <w:szCs w:val="32"/>
          <w14:textFill>
            <w14:solidFill>
              <w14:schemeClr w14:val="tx1"/>
            </w14:solidFill>
          </w14:textFill>
        </w:rPr>
        <w:t>建强数智融合赋能体系，强化全方位多领域的数据资源交汇共享，优化数据要素市场化配置，实现产业链的全程数字化管理。进一步加强公共数据资源统筹管理与运营，推进数据高效流通与开发利用。壮大金湖县数字经济商会资源力量，推动优势产业数据资源共享和技术协同。构建数据标注产业发展体系，规范推动数据产品上市流通，培育和引进一批资源型、技术型、服务型、应用型、安全型等数据企业。锚定县域绿电资源和算力需求，适度超前规划中小型智能算力中心、数据应用中心，推进“智慧金湖云启数字港”建设。打造数字平台交流体系，支持企业用好世界智能制造大会、世界物联网博览会等高端展会，积极开展智能制造技术、标准、人才等合作。</w:t>
      </w:r>
    </w:p>
    <w:p w14:paraId="753FD137">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深化人工智能赋能。</w:t>
      </w:r>
      <w:r>
        <w:rPr>
          <w:rFonts w:ascii="Times New Roman" w:hAnsi="Times New Roman" w:eastAsia="方正仿宋_GBK" w:cs="Times New Roman"/>
          <w:color w:val="000000" w:themeColor="text1"/>
          <w:sz w:val="32"/>
          <w:szCs w:val="32"/>
          <w14:textFill>
            <w14:solidFill>
              <w14:schemeClr w14:val="tx1"/>
            </w14:solidFill>
          </w14:textFill>
        </w:rPr>
        <w:t>围绕高端装备制造、新材料、大健康等主导产业实施“人工智能+”行动，鼓励企业开展应用示范，加快培育一批标杆场景。面向信息、金融、商务、物流等生产性服务业领域，重点培育智能设计、虚拟设计、众包设计等新业态，推动新一代智能终端、智能体等广泛应用。加强智能消费基础设施建设，结合云计算、4K、VR、AR技术，打造可体验可推广的首用场景样板。推动人工智能在农业育种、农机装备、农业生产经营等领域应用。</w:t>
      </w:r>
    </w:p>
    <w:p w14:paraId="2C4A1561">
      <w:pPr>
        <w:pStyle w:val="29"/>
        <w:tabs>
          <w:tab w:val="left" w:pos="7088"/>
        </w:tabs>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加快建设智能社会。</w:t>
      </w:r>
      <w:r>
        <w:rPr>
          <w:rFonts w:ascii="Times New Roman" w:hAnsi="Times New Roman" w:eastAsia="方正仿宋_GBK" w:cs="Times New Roman"/>
          <w:color w:val="000000" w:themeColor="text1"/>
          <w:sz w:val="32"/>
          <w:szCs w:val="32"/>
          <w14:textFill>
            <w14:solidFill>
              <w14:schemeClr w14:val="tx1"/>
            </w14:solidFill>
          </w14:textFill>
        </w:rPr>
        <w:t>提升数字政府建设效能，全面完成“一朵云”建设，建成“一张网”管理体系，加强经济运行数据整合利用，提升财政、市场监管、公共信用、生态环境等数字化转型和智慧管理水平。促进数字社会普惠便捷，全面推动县域数字化转型，打造一站式智慧社区服务平台，在智慧教育、智慧医疗、智慧养老、智慧生活、数字乡村、数字文化、数字档案等领域，加快建设推广一批重大应用标志性成果。推进社会治理智能化，深化“一网统管”应用，推进县域运行、综合治理、交通管理等系统智能迭代升级，提升监测预警、指挥调度、决策支撑等核心能力。</w:t>
      </w:r>
    </w:p>
    <w:p w14:paraId="31230162">
      <w:pPr>
        <w:rPr>
          <w:rFonts w:ascii="Times New Roman" w:hAnsi="Times New Roman" w:cs="Times New Roman"/>
          <w:color w:val="000000" w:themeColor="text1"/>
          <w14:textFill>
            <w14:solidFill>
              <w14:schemeClr w14:val="tx1"/>
            </w14:solidFill>
          </w14:textFill>
        </w:rPr>
      </w:pPr>
      <w:bookmarkStart w:id="141" w:name="_Toc214978112"/>
    </w:p>
    <w:p w14:paraId="4B5FB8ED">
      <w:pPr>
        <w:rPr>
          <w:rFonts w:ascii="Times New Roman" w:hAnsi="Times New Roman" w:eastAsia="方正小标宋_GBK" w:cs="Times New Roman"/>
          <w:color w:val="000000" w:themeColor="text1"/>
          <w:sz w:val="36"/>
          <w:szCs w:val="36"/>
          <w14:textFill>
            <w14:solidFill>
              <w14:schemeClr w14:val="tx1"/>
            </w14:solidFill>
          </w14:textFill>
        </w:rPr>
      </w:pPr>
    </w:p>
    <w:p w14:paraId="26F8C998">
      <w:pPr>
        <w:rPr>
          <w:rFonts w:ascii="Times New Roman" w:hAnsi="Times New Roman" w:eastAsia="方正小标宋_GBK" w:cs="Times New Roman"/>
          <w:color w:val="000000" w:themeColor="text1"/>
          <w:sz w:val="36"/>
          <w:szCs w:val="36"/>
          <w14:textFill>
            <w14:solidFill>
              <w14:schemeClr w14:val="tx1"/>
            </w14:solidFill>
          </w14:textFill>
        </w:rPr>
      </w:pPr>
      <w:r>
        <w:rPr>
          <w:rFonts w:ascii="Times New Roman" w:hAnsi="Times New Roman" w:eastAsia="方正小标宋_GBK" w:cs="Times New Roman"/>
          <w:color w:val="000000" w:themeColor="text1"/>
          <w:sz w:val="36"/>
          <w:szCs w:val="36"/>
          <w14:textFill>
            <w14:solidFill>
              <w14:schemeClr w14:val="tx1"/>
            </w14:solidFill>
          </w14:textFill>
        </w:rPr>
        <w:br w:type="page"/>
      </w:r>
    </w:p>
    <w:p w14:paraId="315AA084">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bookmarkStart w:id="142" w:name="_Toc218695882"/>
      <w:r>
        <w:rPr>
          <w:rFonts w:ascii="Times New Roman" w:hAnsi="Times New Roman" w:eastAsia="方正小标宋_GBK" w:cs="Times New Roman"/>
          <w:color w:val="000000" w:themeColor="text1"/>
          <w:sz w:val="36"/>
          <w:szCs w:val="36"/>
          <w14:textFill>
            <w14:solidFill>
              <w14:schemeClr w14:val="tx1"/>
            </w14:solidFill>
          </w14:textFill>
        </w:rPr>
        <w:t xml:space="preserve">第七篇  </w:t>
      </w:r>
      <w:bookmarkEnd w:id="121"/>
      <w:bookmarkEnd w:id="122"/>
      <w:bookmarkEnd w:id="141"/>
      <w:r>
        <w:rPr>
          <w:rFonts w:ascii="Times New Roman" w:hAnsi="Times New Roman" w:eastAsia="方正小标宋_GBK" w:cs="Times New Roman"/>
          <w:color w:val="000000" w:themeColor="text1"/>
          <w:sz w:val="36"/>
          <w:szCs w:val="36"/>
          <w14:textFill>
            <w14:solidFill>
              <w14:schemeClr w14:val="tx1"/>
            </w14:solidFill>
          </w14:textFill>
        </w:rPr>
        <w:t>厚植民生福祉 普惠共享建设新时代荷美田园</w:t>
      </w:r>
      <w:bookmarkEnd w:id="142"/>
    </w:p>
    <w:p w14:paraId="0BA90B9C">
      <w:pPr>
        <w:spacing w:line="560" w:lineRule="exact"/>
        <w:rPr>
          <w:rFonts w:ascii="Times New Roman" w:hAnsi="Times New Roman" w:cs="Times New Roman"/>
          <w:color w:val="000000" w:themeColor="text1"/>
          <w14:textFill>
            <w14:solidFill>
              <w14:schemeClr w14:val="tx1"/>
            </w14:solidFill>
          </w14:textFill>
        </w:rPr>
      </w:pPr>
      <w:bookmarkStart w:id="143" w:name="_Toc214978113"/>
      <w:bookmarkStart w:id="144" w:name="_Toc213057413"/>
      <w:bookmarkStart w:id="145" w:name="_Toc913269875"/>
      <w:bookmarkStart w:id="146" w:name="_Toc218695883"/>
    </w:p>
    <w:p w14:paraId="7CCCA8B0">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 xml:space="preserve">第十五章 </w:t>
      </w:r>
      <w:bookmarkEnd w:id="143"/>
      <w:bookmarkEnd w:id="144"/>
      <w:bookmarkEnd w:id="145"/>
      <w:r>
        <w:rPr>
          <w:rFonts w:ascii="Times New Roman" w:hAnsi="Times New Roman" w:eastAsia="方正黑体_GBK" w:cs="Times New Roman"/>
          <w:color w:val="000000" w:themeColor="text1"/>
          <w:kern w:val="0"/>
          <w:sz w:val="32"/>
          <w:szCs w:val="32"/>
          <w14:textFill>
            <w14:solidFill>
              <w14:schemeClr w14:val="tx1"/>
            </w14:solidFill>
          </w14:textFill>
        </w:rPr>
        <w:t xml:space="preserve"> 深入实施就业优先战略</w:t>
      </w:r>
      <w:bookmarkEnd w:id="146"/>
    </w:p>
    <w:p w14:paraId="527065BE">
      <w:pPr>
        <w:pStyle w:val="29"/>
        <w:spacing w:after="0" w:line="560" w:lineRule="exact"/>
        <w:ind w:left="0" w:leftChars="0" w:firstLine="640"/>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深入实施就业优先战略，不断提高就业创业政策集合度，多渠道促进就业创业，扩大就业容量，以高质量充分就业促进民生改善，推进富民增收。“十五五”期间，累计城镇新增就业12000人。</w:t>
      </w:r>
    </w:p>
    <w:p w14:paraId="3CFC02F7">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47" w:name="_Toc218695884"/>
      <w:r>
        <w:rPr>
          <w:rFonts w:ascii="Times New Roman" w:hAnsi="Times New Roman" w:eastAsia="方正楷体_GBK" w:cs="Times New Roman"/>
          <w:color w:val="000000" w:themeColor="text1"/>
          <w:kern w:val="0"/>
          <w:sz w:val="32"/>
          <w:szCs w:val="32"/>
          <w14:textFill>
            <w14:solidFill>
              <w14:schemeClr w14:val="tx1"/>
            </w14:solidFill>
          </w14:textFill>
        </w:rPr>
        <w:t>第一节  促进高质量充分就业</w:t>
      </w:r>
      <w:bookmarkEnd w:id="147"/>
    </w:p>
    <w:p w14:paraId="2B0A8883">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支持重点群体就业。</w:t>
      </w:r>
      <w:r>
        <w:rPr>
          <w:rFonts w:ascii="Times New Roman" w:hAnsi="Times New Roman" w:eastAsia="方正仿宋_GBK" w:cs="Times New Roman"/>
          <w:color w:val="000000" w:themeColor="text1"/>
          <w:sz w:val="32"/>
          <w:szCs w:val="32"/>
          <w14:textFill>
            <w14:solidFill>
              <w14:schemeClr w14:val="tx1"/>
            </w14:solidFill>
          </w14:textFill>
        </w:rPr>
        <w:t>构建“常态化摸排+动态监测”机制，编制企业用工缺口、岗位类型、薪资水平等需求清单。实施高校毕业生就业护航工程和“强技行动”，多渠道组织高质量就业见习活动，提升就业竞争力。强化农民工就业帮扶和技能培训，大力推进劳务品牌建设。常态化摸排并精准帮扶就业困难群体，用好公益性岗位兜底帮扶政策，重点安置大龄失业人员、零就业家庭等就业困难群体，扎实做好残疾人、退役军人、妇女等群体就业工作。培育和规范人力资源市场，加强劳动者权益保障，构建和谐劳动关系。</w:t>
      </w:r>
    </w:p>
    <w:p w14:paraId="4E23C7B4">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提高产业的就业带动力。</w:t>
      </w:r>
      <w:r>
        <w:rPr>
          <w:rFonts w:ascii="Times New Roman" w:hAnsi="Times New Roman" w:eastAsia="方正仿宋_GBK" w:cs="Times New Roman"/>
          <w:color w:val="000000" w:themeColor="text1"/>
          <w:sz w:val="32"/>
          <w:szCs w:val="32"/>
          <w14:textFill>
            <w14:solidFill>
              <w14:schemeClr w14:val="tx1"/>
            </w14:solidFill>
          </w14:textFill>
        </w:rPr>
        <w:t>引进具有较强就业吸纳能力的产业项目，创造大量稳定且有吸引力的就业岗位，拓展新的就业增长点。围绕主导产业发展态势，举办产业链供需对接会，收集创新创业项目信息。健全终身职业技能培训制度，继续通过“夜校”模式开展职业技能培训，深度融合“直播带岗”“人才夜市”与“夜校”培训，畅通人与岗位对接渠道，鼓励企业与高等院校、职业大学合作开设订单班、冠名班，开展“扫盲式”“赋能式”“传技式”“转产式”培训，促进产业和就业协同发展。</w:t>
      </w:r>
    </w:p>
    <w:p w14:paraId="4DB1347C">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全力支持全民创业。</w:t>
      </w:r>
      <w:r>
        <w:rPr>
          <w:rFonts w:ascii="Times New Roman" w:hAnsi="Times New Roman" w:eastAsia="方正仿宋_GBK" w:cs="Times New Roman"/>
          <w:color w:val="000000" w:themeColor="text1"/>
          <w:sz w:val="32"/>
          <w:szCs w:val="32"/>
          <w14:textFill>
            <w14:solidFill>
              <w14:schemeClr w14:val="tx1"/>
            </w14:solidFill>
          </w14:textFill>
        </w:rPr>
        <w:t>聚焦创业带动就业，深入实施“创富金湖”创业扶持专项行动，大力扶持自主创业，推动创业担保贷款扩面增容，落实一次性创业补贴、创业带动就业补贴等政策，营造安全优质的创业环境。加大对小微企业、个体经营户等重点群体支持力度，在落实创业担保贷款、创业补贴、社保补贴基础上，针对性地开展多工种、多形态的创业培训，有效增强创业能力。开展“雁归计划”，促进更多金湖籍人才返乡创业，引导退役军人围绕国家重点扶持领域创业。</w:t>
      </w:r>
    </w:p>
    <w:p w14:paraId="223748B3">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48" w:name="_Toc218695885"/>
      <w:r>
        <w:rPr>
          <w:rFonts w:ascii="Times New Roman" w:hAnsi="Times New Roman" w:eastAsia="方正楷体_GBK" w:cs="Times New Roman"/>
          <w:color w:val="000000" w:themeColor="text1"/>
          <w:kern w:val="0"/>
          <w:sz w:val="32"/>
          <w:szCs w:val="32"/>
          <w14:textFill>
            <w14:solidFill>
              <w14:schemeClr w14:val="tx1"/>
            </w14:solidFill>
          </w14:textFill>
        </w:rPr>
        <w:t>第二节  持续推进富民增收</w:t>
      </w:r>
      <w:bookmarkEnd w:id="148"/>
    </w:p>
    <w:p w14:paraId="3DECB1BA">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拓宽居民增收渠道。</w:t>
      </w:r>
      <w:r>
        <w:rPr>
          <w:rFonts w:ascii="Times New Roman" w:hAnsi="Times New Roman" w:eastAsia="方正仿宋_GBK" w:cs="Times New Roman"/>
          <w:color w:val="000000" w:themeColor="text1"/>
          <w:sz w:val="32"/>
          <w:szCs w:val="32"/>
          <w14:textFill>
            <w14:solidFill>
              <w14:schemeClr w14:val="tx1"/>
            </w14:solidFill>
          </w14:textFill>
        </w:rPr>
        <w:t>健全按要素初次分配机制，探索通过土地、房产、资本等要素使用权、收益权增加中低收入群体要素收入，增加以知识产权收益为代表的新型财产性收入，稳步推进农村集体产权制度改革，构建多层次财产性收入增长机制。建立企业工资集体协商制度，支持企业上调从业人员工资，将产业发展红利转化为工资性收入增长动力。到2030年，全县居民人均可支配收入年均增长率达到6.5%，城乡收入差距降至1.65以内。</w:t>
      </w:r>
    </w:p>
    <w:p w14:paraId="3C6AF6FA">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持续扩大中等收入群体。</w:t>
      </w:r>
      <w:r>
        <w:rPr>
          <w:rFonts w:ascii="Times New Roman" w:hAnsi="Times New Roman" w:eastAsia="方正仿宋_GBK" w:cs="Times New Roman"/>
          <w:color w:val="000000" w:themeColor="text1"/>
          <w:sz w:val="32"/>
          <w:szCs w:val="32"/>
          <w14:textFill>
            <w14:solidFill>
              <w14:schemeClr w14:val="tx1"/>
            </w14:solidFill>
          </w14:textFill>
        </w:rPr>
        <w:t>聚焦技能人才、专业技术人员、高校毕业生等重点群体，引导企业健全技能人才薪酬分配制度，合理确定技能人才起点薪酬、工资增幅、创新激励等待遇水平。为进城务工人员提供技能提升、子女教育、住房保障等一体化服务，引导体力型劳动者向技能技艺型劳动者转变。为小微企业主提供创业扶持、市场拓展、融资支持，助力其扩大经营规模、提升收入水平。到2030年，推动中等收入群体规模占比提升至45%以上。</w:t>
      </w:r>
    </w:p>
    <w:p w14:paraId="6E919674">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促进困难群体就业增收。</w:t>
      </w:r>
      <w:r>
        <w:rPr>
          <w:rFonts w:ascii="Times New Roman" w:hAnsi="Times New Roman" w:eastAsia="方正仿宋_GBK" w:cs="Times New Roman"/>
          <w:color w:val="000000" w:themeColor="text1"/>
          <w:sz w:val="32"/>
          <w:szCs w:val="32"/>
          <w14:textFill>
            <w14:solidFill>
              <w14:schemeClr w14:val="tx1"/>
            </w14:solidFill>
          </w14:textFill>
        </w:rPr>
        <w:t>完善就业困难人员、建档困难职工认定办法，加强对低收入人口中失业待业人员、灵活务工人员的风险监测和走访摸排。</w:t>
      </w:r>
      <w:bookmarkStart w:id="149" w:name="_Toc1261164016"/>
      <w:bookmarkStart w:id="150" w:name="_Toc213057414"/>
      <w:r>
        <w:rPr>
          <w:rFonts w:ascii="Times New Roman" w:hAnsi="Times New Roman" w:eastAsia="方正仿宋_GBK" w:cs="Times New Roman"/>
          <w:color w:val="000000" w:themeColor="text1"/>
          <w:kern w:val="0"/>
          <w:sz w:val="32"/>
          <w:szCs w:val="32"/>
          <w14:textFill>
            <w14:solidFill>
              <w14:schemeClr w14:val="tx1"/>
            </w14:solidFill>
          </w14:textFill>
        </w:rPr>
        <w:t>规范和促进公益慈善事业发展，</w:t>
      </w:r>
      <w:r>
        <w:rPr>
          <w:rFonts w:ascii="Times New Roman" w:hAnsi="Times New Roman" w:eastAsia="方正仿宋_GBK" w:cs="Times New Roman"/>
          <w:color w:val="000000" w:themeColor="text1"/>
          <w:sz w:val="32"/>
          <w:szCs w:val="32"/>
          <w14:textFill>
            <w14:solidFill>
              <w14:schemeClr w14:val="tx1"/>
            </w14:solidFill>
          </w14:textFill>
        </w:rPr>
        <w:t>帮助失业人员和困难人员解决生活难题，对有就业需求的零就业家庭人员、残疾人、特困职工等困难群众提供精细化服务，扩大公益性岗位托底安置。针对困难群体就业需求，开设低门槛、易上手的培训项目，推行免费技能培训，提升就业竞争力。</w:t>
      </w:r>
      <w:r>
        <w:rPr>
          <w:rFonts w:ascii="Times New Roman" w:hAnsi="Times New Roman" w:eastAsia="方正仿宋_GBK" w:cs="Times New Roman"/>
          <w:color w:val="000000" w:themeColor="text1"/>
          <w:kern w:val="0"/>
          <w:sz w:val="32"/>
          <w:szCs w:val="32"/>
          <w14:textFill>
            <w14:solidFill>
              <w14:schemeClr w14:val="tx1"/>
            </w14:solidFill>
          </w14:textFill>
        </w:rPr>
        <w:t>坚持精准帮扶，完善分层分类帮扶机制，实施防返贫保险，强化脱贫人口小额信贷发放，确保不发生规模性返贫致贫。</w:t>
      </w:r>
    </w:p>
    <w:p w14:paraId="16E4171A">
      <w:pPr>
        <w:spacing w:line="560" w:lineRule="exact"/>
        <w:rPr>
          <w:rFonts w:ascii="Times New Roman" w:hAnsi="Times New Roman" w:cs="Times New Roman"/>
        </w:rPr>
      </w:pPr>
    </w:p>
    <w:p w14:paraId="6245E4D6">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151" w:name="_Toc322965909"/>
      <w:bookmarkStart w:id="152" w:name="_Toc213057416"/>
      <w:bookmarkStart w:id="153" w:name="_Toc218695886"/>
      <w:bookmarkStart w:id="154" w:name="_Toc214978116"/>
      <w:r>
        <w:rPr>
          <w:rFonts w:ascii="Times New Roman" w:hAnsi="Times New Roman" w:eastAsia="方正黑体_GBK" w:cs="Times New Roman"/>
          <w:color w:val="000000" w:themeColor="text1"/>
          <w:kern w:val="0"/>
          <w:sz w:val="32"/>
          <w:szCs w:val="32"/>
          <w14:textFill>
            <w14:solidFill>
              <w14:schemeClr w14:val="tx1"/>
            </w14:solidFill>
          </w14:textFill>
        </w:rPr>
        <w:t>第十六章  健全多层次社会保障</w:t>
      </w:r>
      <w:bookmarkEnd w:id="151"/>
      <w:bookmarkEnd w:id="152"/>
      <w:r>
        <w:rPr>
          <w:rFonts w:ascii="Times New Roman" w:hAnsi="Times New Roman" w:eastAsia="方正黑体_GBK" w:cs="Times New Roman"/>
          <w:color w:val="000000" w:themeColor="text1"/>
          <w:kern w:val="0"/>
          <w:sz w:val="32"/>
          <w:szCs w:val="32"/>
          <w14:textFill>
            <w14:solidFill>
              <w14:schemeClr w14:val="tx1"/>
            </w14:solidFill>
          </w14:textFill>
        </w:rPr>
        <w:t>体系</w:t>
      </w:r>
      <w:bookmarkEnd w:id="153"/>
      <w:bookmarkEnd w:id="154"/>
    </w:p>
    <w:p w14:paraId="2E68D9F5">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加大保障和改善民生力度，准确把握群众多层次多样化保障需求，把提高社会保障水平建立在经济和财力可持续增长的基础之上，确保社会保障制度持续健康运行。</w:t>
      </w:r>
    </w:p>
    <w:p w14:paraId="077E5B48">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55" w:name="_Toc218695887"/>
      <w:r>
        <w:rPr>
          <w:rFonts w:ascii="Times New Roman" w:hAnsi="Times New Roman" w:eastAsia="方正楷体_GBK" w:cs="Times New Roman"/>
          <w:color w:val="000000" w:themeColor="text1"/>
          <w:kern w:val="0"/>
          <w:sz w:val="32"/>
          <w:szCs w:val="32"/>
          <w14:textFill>
            <w14:solidFill>
              <w14:schemeClr w14:val="tx1"/>
            </w14:solidFill>
          </w14:textFill>
        </w:rPr>
        <w:t>第一节  增强社会保障普惠性</w:t>
      </w:r>
      <w:bookmarkEnd w:id="155"/>
    </w:p>
    <w:p w14:paraId="15809361">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加快发展养老保险体系。</w:t>
      </w:r>
      <w:r>
        <w:rPr>
          <w:rFonts w:ascii="Times New Roman" w:hAnsi="Times New Roman" w:eastAsia="方正仿宋_GBK" w:cs="Times New Roman"/>
          <w:color w:val="000000" w:themeColor="text1"/>
          <w:sz w:val="32"/>
          <w:szCs w:val="32"/>
          <w14:textFill>
            <w14:solidFill>
              <w14:schemeClr w14:val="tx1"/>
            </w14:solidFill>
          </w14:textFill>
        </w:rPr>
        <w:t>加快发展多层次、多支柱养老保险体系，推进城乡居民养老保险集体补助试点，稳步提高城乡居民基础养老金标准、被征地农民社会保障筹资标准和企业退休人员基本养老金水平，逐步缩小城乡之间、不同群体之间的待遇差距。按要求完成企业养老保险基金征缴目标，大力发展企业年金、职业年金，加快各养老保险制度的整合衔接。落实渐进式延迟法定退休年龄政策。开展社保专项扩面宣传，扩大新成长劳动力、新业态就业群体社保覆盖面，运用“数据找人”信息，精准定位未参保对象，实现法定参保对象应保尽保。</w:t>
      </w:r>
    </w:p>
    <w:p w14:paraId="00A2A8E3">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健全多层次医疗保障体系。</w:t>
      </w:r>
      <w:r>
        <w:rPr>
          <w:rFonts w:ascii="Times New Roman" w:hAnsi="Times New Roman" w:eastAsia="方正仿宋_GBK" w:cs="Times New Roman"/>
          <w:color w:val="000000" w:themeColor="text1"/>
          <w:sz w:val="32"/>
          <w:szCs w:val="32"/>
          <w14:textFill>
            <w14:solidFill>
              <w14:schemeClr w14:val="tx1"/>
            </w14:solidFill>
          </w14:textFill>
        </w:rPr>
        <w:t>深入开展全民参保计划，优化参保人员结构，构建以基本医保为主体、大病保险为延伸、医疗救助为托底、商业保险为补充的多层次医疗保障体系。稳步提升医保待遇，落实异地就医结算政策，减轻患者就医垫资压力。实施长期护理保险制度，为符合条件的失能人员提供护理服务。执行药品、耗材价格和招采制度改革。深化医疗服务价格改革和医保支付方式改革，强化医保基金监管，维护医保基金安全。</w:t>
      </w:r>
    </w:p>
    <w:p w14:paraId="7B35CC3A">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完善分类社会救助体系。</w:t>
      </w:r>
      <w:r>
        <w:rPr>
          <w:rFonts w:ascii="Times New Roman" w:hAnsi="Times New Roman" w:eastAsia="方正仿宋_GBK" w:cs="Times New Roman"/>
          <w:color w:val="000000" w:themeColor="text1"/>
          <w:sz w:val="32"/>
          <w:szCs w:val="32"/>
          <w14:textFill>
            <w14:solidFill>
              <w14:schemeClr w14:val="tx1"/>
            </w14:solidFill>
          </w14:textFill>
        </w:rPr>
        <w:t>健全社会救助体系，形成“分层管理、分类救助”的梯度救助体系，建立“动态监测、需求评估、资源匹配、精准服务、监管有力”的服务类社会救助运行机制。加强支出型贫困救助，稳步提高兜底保障标准，修订完善低保边缘家庭和刚性支出困难家庭等认定标准。构建“物质+服务+精神”综合救助格局，在资金物资支持基础上，提供生活照料、心理疏导、能力提升等多样化服务。强化救助对象主动发现机制，通过基层排查、部门联动、群众反馈等多渠道摸查及时摸清底数。</w:t>
      </w:r>
    </w:p>
    <w:p w14:paraId="59E8BD03">
      <w:pPr>
        <w:keepNext/>
        <w:widowControl/>
        <w:spacing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56" w:name="_Toc218695888"/>
      <w:r>
        <w:rPr>
          <w:rFonts w:ascii="Times New Roman" w:hAnsi="Times New Roman" w:eastAsia="方正楷体_GBK" w:cs="Times New Roman"/>
          <w:color w:val="000000" w:themeColor="text1"/>
          <w:kern w:val="0"/>
          <w:sz w:val="32"/>
          <w:szCs w:val="32"/>
          <w14:textFill>
            <w14:solidFill>
              <w14:schemeClr w14:val="tx1"/>
            </w14:solidFill>
          </w14:textFill>
        </w:rPr>
        <w:t>第二节  强化基本公共服务保障</w:t>
      </w:r>
      <w:bookmarkEnd w:id="156"/>
    </w:p>
    <w:p w14:paraId="50A80FB4">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加快推进基本公共服务均等化。</w:t>
      </w:r>
      <w:r>
        <w:rPr>
          <w:rFonts w:ascii="Times New Roman" w:hAnsi="Times New Roman" w:eastAsia="方正仿宋_GBK" w:cs="Times New Roman"/>
          <w:color w:val="000000" w:themeColor="text1"/>
          <w:sz w:val="32"/>
          <w:szCs w:val="32"/>
          <w14:textFill>
            <w14:solidFill>
              <w14:schemeClr w14:val="tx1"/>
            </w14:solidFill>
          </w14:textFill>
        </w:rPr>
        <w:t>健全常住地提供基本公共服务制度，合理细化服务标准和服务流程，科学规划建设各类基本公共服务设施，持续推动基本公共服务标准化、普惠化、均等化。健全基本公共服务标准体系，推动基本公共服务供给与人口变化相协调。推动数字智能技术与公共服务深度融合，加快信息数据互通共享，扩大优质数字公共服务资源覆盖面。进一步组织实施民生实事项目，切实解决群众关心的急难愁盼问题。</w:t>
      </w:r>
    </w:p>
    <w:p w14:paraId="5A6F50A5">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bookmarkStart w:id="157" w:name="_Toc214978117"/>
      <w:r>
        <w:rPr>
          <w:rFonts w:ascii="Times New Roman" w:hAnsi="Times New Roman" w:eastAsia="方正楷体_GBK" w:cs="Times New Roman"/>
          <w:color w:val="000000" w:themeColor="text1"/>
          <w:sz w:val="32"/>
          <w:szCs w:val="32"/>
          <w14:textFill>
            <w14:solidFill>
              <w14:schemeClr w14:val="tx1"/>
            </w14:solidFill>
          </w14:textFill>
        </w:rPr>
        <w:t>提升重点群体服务水平。</w:t>
      </w:r>
      <w:r>
        <w:rPr>
          <w:rFonts w:ascii="Times New Roman" w:hAnsi="Times New Roman" w:eastAsia="方正仿宋_GBK" w:cs="Times New Roman"/>
          <w:color w:val="000000" w:themeColor="text1"/>
          <w:sz w:val="32"/>
          <w:szCs w:val="32"/>
          <w14:textFill>
            <w14:solidFill>
              <w14:schemeClr w14:val="tx1"/>
            </w14:solidFill>
          </w14:textFill>
        </w:rPr>
        <w:t>健全保障妇女合法权益制度，重点关注和解决低收入妇女、残疾妇女、留守妇女等群体相关问题。加大困境儿童福利保障工作力度，强化未成年人保护和留守、流动儿童关爱保护，推进未成年人救助保护机构规范运行。完善空巢老人、残疾人社会保障制度和关爱服务体系，提升残疾人托养服务供给能力。助力精神障碍患者社区康复。健全退役军人接收安置、服务保障、困难帮扶等机制，深化双拥共建。支持红十字会依法履职。深化殡葬综合改革，推进城市公益性公墓殡仪服务中心、城乡公墓建设，提升殡葬服务能力和水平。</w:t>
      </w:r>
    </w:p>
    <w:p w14:paraId="7B75A520">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完善保障性住房供给。</w:t>
      </w:r>
      <w:r>
        <w:rPr>
          <w:rFonts w:ascii="Times New Roman" w:hAnsi="Times New Roman" w:eastAsia="方正仿宋_GBK" w:cs="Times New Roman"/>
          <w:color w:val="000000" w:themeColor="text1"/>
          <w:sz w:val="32"/>
          <w:szCs w:val="32"/>
          <w14:textFill>
            <w14:solidFill>
              <w14:schemeClr w14:val="tx1"/>
            </w14:solidFill>
          </w14:textFill>
        </w:rPr>
        <w:t>构建“保障筑基—改造提质—市场稳进”三级跃升系统。提质增效公租房配租，精准覆盖中低收入住房困难家庭、新就业人员和外来务工人员，加强装修工作，确保困难群体及时“拎包入住”。动态调整保障标准，扩大政策覆盖半径，将更多低收入和中等偏下收入群体纳入保障范围。结合城市更新，推进老旧小区“基础类+完善类+提升类”分类改造，逐步实施片区的宜居化改造工作。</w:t>
      </w:r>
    </w:p>
    <w:p w14:paraId="5F387220">
      <w:pPr>
        <w:pStyle w:val="29"/>
        <w:spacing w:after="0" w:line="560" w:lineRule="exact"/>
        <w:rPr>
          <w:rFonts w:ascii="Times New Roman" w:hAnsi="Times New Roman" w:cs="Times New Roman"/>
        </w:rPr>
      </w:pPr>
    </w:p>
    <w:p w14:paraId="6B4CBEFF">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158" w:name="_Toc218695889"/>
      <w:r>
        <w:rPr>
          <w:rFonts w:ascii="Times New Roman" w:hAnsi="Times New Roman" w:eastAsia="方正黑体_GBK" w:cs="Times New Roman"/>
          <w:color w:val="000000" w:themeColor="text1"/>
          <w:kern w:val="0"/>
          <w:sz w:val="32"/>
          <w:szCs w:val="32"/>
          <w14:textFill>
            <w14:solidFill>
              <w14:schemeClr w14:val="tx1"/>
            </w14:solidFill>
          </w14:textFill>
        </w:rPr>
        <w:t>第十七章  丰富群众精神文化生活</w:t>
      </w:r>
      <w:bookmarkEnd w:id="157"/>
      <w:bookmarkEnd w:id="158"/>
    </w:p>
    <w:p w14:paraId="7A483EEF">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坚持不懈用习近平新时代中国特色社会主义思想凝心铸魂，弘扬和践行社会主义核心价值观，以更大力度、更实举措加快构建“覆盖城乡、便捷高效、促基本、促公平”的县域公共文化服务系统，更好满足人民群众精神文化生活新期待。</w:t>
      </w:r>
    </w:p>
    <w:p w14:paraId="40A3523B">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59" w:name="_Toc218695890"/>
      <w:r>
        <w:rPr>
          <w:rFonts w:ascii="Times New Roman" w:hAnsi="Times New Roman" w:eastAsia="方正楷体_GBK" w:cs="Times New Roman"/>
          <w:color w:val="000000" w:themeColor="text1"/>
          <w:kern w:val="0"/>
          <w:sz w:val="32"/>
          <w:szCs w:val="32"/>
          <w14:textFill>
            <w14:solidFill>
              <w14:schemeClr w14:val="tx1"/>
            </w14:solidFill>
          </w14:textFill>
        </w:rPr>
        <w:t>第一节  弘扬和践行社会主义核心价值观</w:t>
      </w:r>
      <w:bookmarkEnd w:id="159"/>
    </w:p>
    <w:p w14:paraId="54968191">
      <w:pPr>
        <w:spacing w:line="560"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牢牢掌握意识形态主动权。</w:t>
      </w:r>
      <w:r>
        <w:rPr>
          <w:rFonts w:ascii="Times New Roman" w:hAnsi="Times New Roman" w:eastAsia="方正仿宋_GBK" w:cs="Times New Roman"/>
          <w:color w:val="000000" w:themeColor="text1"/>
          <w:kern w:val="0"/>
          <w:sz w:val="32"/>
          <w:szCs w:val="32"/>
          <w14:textFill>
            <w14:solidFill>
              <w14:schemeClr w14:val="tx1"/>
            </w14:solidFill>
          </w14:textFill>
        </w:rPr>
        <w:t>构建“干部讲政策、专家讲理论、百姓讲故事、劳模讲奉献、创业者讲创新、青年讲传承”的立体宣传矩阵，擦亮“习语金声”理论宣讲品牌，推动党的创新理论“飞入寻常百姓家”。策划开展“荷乡讲堂”“湖畔宣讲”等理论宣传与文化育民活动，引导干部群众特别是青少年深刻理解爱国主义的精神实质和时代要求。创新打造“艺术思政课”“荷乡书院”“渔乐湾”抖音小镇品牌，推动理想信念教育常态化制度化。讲好“金湖故事”，完成《中国共产党金湖地方史（第三卷）》编纂，启动第三轮金湖县志编修。全面落实意识形态工作责任制，强化网络和数据内容建设与管理，筑牢意识形态安全防线。</w:t>
      </w:r>
    </w:p>
    <w:p w14:paraId="2CF5733D">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建设社会文明风尚高地。</w:t>
      </w:r>
      <w:r>
        <w:rPr>
          <w:rFonts w:ascii="Times New Roman" w:hAnsi="Times New Roman" w:eastAsia="方正仿宋_GBK" w:cs="Times New Roman"/>
          <w:color w:val="000000" w:themeColor="text1"/>
          <w:kern w:val="0"/>
          <w:sz w:val="32"/>
          <w:szCs w:val="32"/>
          <w14:textFill>
            <w14:solidFill>
              <w14:schemeClr w14:val="tx1"/>
            </w14:solidFill>
          </w14:textFill>
        </w:rPr>
        <w:t>统筹推进城乡精神文明建设融合提质，健全精神文明建设长效机制，探索从创建“文明城市”向建设“城市文明”转变的新路径。持续选树宣传“劳动模范”“身边好人”“新时代好少年”等先进典型，发挥示范引领作用。依托金湖“荷都”文化底蕴，推动优秀传统文化与新时代文明理念融合创新。实施“好家风好家训”传承行动，弘扬具有水乡特色的时代新风。深化“志愿金湖”“诚信金湖”“书香金湖”建设，推动数字赋能文明实践，提升新时代文明实践站点服务功能。</w:t>
      </w:r>
    </w:p>
    <w:p w14:paraId="5F52C3A6">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发挥阵地载体作用。</w:t>
      </w:r>
      <w:r>
        <w:rPr>
          <w:rFonts w:ascii="Times New Roman" w:hAnsi="Times New Roman" w:eastAsia="方正仿宋_GBK" w:cs="Times New Roman"/>
          <w:color w:val="000000" w:themeColor="text1"/>
          <w:sz w:val="32"/>
          <w:szCs w:val="32"/>
          <w14:textFill>
            <w14:solidFill>
              <w14:schemeClr w14:val="tx1"/>
            </w14:solidFill>
          </w14:textFill>
        </w:rPr>
        <w:t>盘活用好各类教育基地资源，依托爱国主义教育基地、民族团结教育基地、国防教育基地、法治宣传教育阵地、新时代文明实践中心（所、站）等设施场馆，紧扣时代主题与社会需求，常态化组织开展社会主义核心价值观教育实践活动。扎实开展县级融媒增效行动，加强本土文化与时代精神融合表达，推进新技术落地应用赋能，建设具有广泛影响力的新型主流媒体和新媒体平台。把文明实践阵地与淮安书房、城市书房、农家书屋、职工书屋、旅游景区和城市公共空间建设结合起来，</w:t>
      </w:r>
      <w:r>
        <w:rPr>
          <w:rFonts w:ascii="Times New Roman" w:hAnsi="Times New Roman" w:eastAsia="方正仿宋_GBK" w:cs="Times New Roman"/>
          <w:color w:val="000000" w:themeColor="text1"/>
          <w:kern w:val="0"/>
          <w:sz w:val="32"/>
          <w:szCs w:val="32"/>
          <w14:textFill>
            <w14:solidFill>
              <w14:schemeClr w14:val="tx1"/>
            </w14:solidFill>
          </w14:textFill>
        </w:rPr>
        <w:t>发挥文化养心志、育情操的作用</w:t>
      </w:r>
      <w:r>
        <w:rPr>
          <w:rFonts w:ascii="Times New Roman" w:hAnsi="Times New Roman" w:eastAsia="方正仿宋_GBK" w:cs="Times New Roman"/>
          <w:color w:val="000000" w:themeColor="text1"/>
          <w:sz w:val="32"/>
          <w:szCs w:val="32"/>
          <w14:textFill>
            <w14:solidFill>
              <w14:schemeClr w14:val="tx1"/>
            </w14:solidFill>
          </w14:textFill>
        </w:rPr>
        <w:t>。</w:t>
      </w:r>
    </w:p>
    <w:p w14:paraId="0528A501">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60" w:name="_Toc218695891"/>
      <w:r>
        <w:rPr>
          <w:rFonts w:ascii="Times New Roman" w:hAnsi="Times New Roman" w:eastAsia="方正楷体_GBK" w:cs="Times New Roman"/>
          <w:color w:val="000000" w:themeColor="text1"/>
          <w:kern w:val="0"/>
          <w:sz w:val="32"/>
          <w:szCs w:val="32"/>
          <w14:textFill>
            <w14:solidFill>
              <w14:schemeClr w14:val="tx1"/>
            </w14:solidFill>
          </w14:textFill>
        </w:rPr>
        <w:t>第二节  大力推进文化事业繁荣</w:t>
      </w:r>
      <w:bookmarkEnd w:id="160"/>
    </w:p>
    <w:p w14:paraId="034EC7D9">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挖掘用好非遗资源。</w:t>
      </w:r>
      <w:r>
        <w:rPr>
          <w:rFonts w:ascii="Times New Roman" w:hAnsi="Times New Roman" w:eastAsia="方正仿宋_GBK" w:cs="Times New Roman"/>
          <w:color w:val="000000" w:themeColor="text1"/>
          <w:sz w:val="32"/>
          <w:szCs w:val="32"/>
          <w14:textFill>
            <w14:solidFill>
              <w14:schemeClr w14:val="tx1"/>
            </w14:solidFill>
          </w14:textFill>
        </w:rPr>
        <w:t>传承弘扬优秀传统文化，全面扩大金湖秧歌、金湖剪纸、金湖草编、莲湘舞、打排斧、中秋敬月、白马湖荷包肉制作技艺、莲乡莲子酥制作技艺等非物质文化遗产的影响力，加强文物保护和非物质文化遗产传承发展，积极组织申报省、市级非遗项目，打造国家级、省级非物质文化遗产。深挖尧文化、荷文化、水文化、渔文化内涵，提升非遗展示馆和金湖秧歌传承基地服务效能。强化非遗资源创新转化，以金湖剪纸、制香、糖画、草编等为重点，打造非遗创意街区，加大非遗传承人培养力度，提升非遗品牌影响力。</w:t>
      </w:r>
    </w:p>
    <w:p w14:paraId="005570F4">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kern w:val="0"/>
          <w:sz w:val="32"/>
          <w:szCs w:val="32"/>
          <w14:textFill>
            <w14:solidFill>
              <w14:schemeClr w14:val="tx1"/>
            </w14:solidFill>
          </w14:textFill>
        </w:rPr>
        <w:t>加大公共文化服务供给。</w:t>
      </w:r>
      <w:r>
        <w:rPr>
          <w:rFonts w:ascii="Times New Roman" w:hAnsi="Times New Roman" w:eastAsia="方正仿宋_GBK" w:cs="Times New Roman"/>
          <w:color w:val="000000" w:themeColor="text1"/>
          <w:sz w:val="32"/>
          <w:szCs w:val="32"/>
          <w14:textFill>
            <w14:solidFill>
              <w14:schemeClr w14:val="tx1"/>
            </w14:solidFill>
          </w14:textFill>
        </w:rPr>
        <w:t>健全现代公共文化服务体系，创新公共文化产品和服务供给方式。实施文艺精品创作扶持计划，加强文化人才队伍建设，激发基层文艺创作潜能，集中力量打造一批反映时代精神、富有金湖特色的文艺精品。实施“数字文化馆”升级工程，提升图书馆、文化艺术中心、体育中心等场馆服务效能，加快博物馆建成运营</w:t>
      </w:r>
      <w:r>
        <w:rPr>
          <w:rFonts w:ascii="Times New Roman" w:hAnsi="Times New Roman" w:eastAsia="方正仿宋_GBK" w:cs="Times New Roman"/>
          <w:color w:val="000000" w:themeColor="text1"/>
          <w:kern w:val="0"/>
          <w:sz w:val="32"/>
          <w:szCs w:val="32"/>
          <w14:textFill>
            <w14:solidFill>
              <w14:schemeClr w14:val="tx1"/>
            </w14:solidFill>
          </w14:textFill>
        </w:rPr>
        <w:t>，年均文化场馆服务人次不低于10万人次</w:t>
      </w:r>
      <w:r>
        <w:rPr>
          <w:rFonts w:ascii="Times New Roman" w:hAnsi="Times New Roman" w:eastAsia="方正仿宋_GBK" w:cs="Times New Roman"/>
          <w:color w:val="000000" w:themeColor="text1"/>
          <w:sz w:val="32"/>
          <w:szCs w:val="32"/>
          <w14:textFill>
            <w14:solidFill>
              <w14:schemeClr w14:val="tx1"/>
            </w14:solidFill>
          </w14:textFill>
        </w:rPr>
        <w:t>。建设“15分钟城乡品质文化服务圈”，推动文化惠民工程扩大覆盖面、增强实效性。广泛开展群众性文化体育活动，丰富群众精神文化生活。</w:t>
      </w:r>
    </w:p>
    <w:p w14:paraId="68DAFF0E">
      <w:pPr>
        <w:rPr>
          <w:rFonts w:ascii="Times New Roman" w:hAnsi="Times New Roman" w:cs="Times New Roman"/>
          <w:color w:val="000000" w:themeColor="text1"/>
          <w14:textFill>
            <w14:solidFill>
              <w14:schemeClr w14:val="tx1"/>
            </w14:solidFill>
          </w14:textFill>
        </w:rPr>
      </w:pPr>
      <w:bookmarkStart w:id="161" w:name="_Toc214978114"/>
    </w:p>
    <w:p w14:paraId="3477B8B0">
      <w:pPr>
        <w:rPr>
          <w:rFonts w:ascii="Times New Roman" w:hAnsi="Times New Roman" w:eastAsia="方正小标宋_GBK" w:cs="Times New Roman"/>
          <w:color w:val="000000" w:themeColor="text1"/>
          <w:sz w:val="36"/>
          <w:szCs w:val="36"/>
          <w14:textFill>
            <w14:solidFill>
              <w14:schemeClr w14:val="tx1"/>
            </w14:solidFill>
          </w14:textFill>
        </w:rPr>
      </w:pPr>
      <w:r>
        <w:rPr>
          <w:rFonts w:ascii="Times New Roman" w:hAnsi="Times New Roman" w:eastAsia="方正小标宋_GBK" w:cs="Times New Roman"/>
          <w:color w:val="000000" w:themeColor="text1"/>
          <w:sz w:val="36"/>
          <w:szCs w:val="36"/>
          <w14:textFill>
            <w14:solidFill>
              <w14:schemeClr w14:val="tx1"/>
            </w14:solidFill>
          </w14:textFill>
        </w:rPr>
        <w:br w:type="page"/>
      </w:r>
    </w:p>
    <w:p w14:paraId="6FF50423">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bookmarkStart w:id="162" w:name="_Toc218695892"/>
      <w:r>
        <w:rPr>
          <w:rFonts w:ascii="Times New Roman" w:hAnsi="Times New Roman" w:eastAsia="方正小标宋_GBK" w:cs="Times New Roman"/>
          <w:color w:val="000000" w:themeColor="text1"/>
          <w:sz w:val="36"/>
          <w:szCs w:val="36"/>
          <w14:textFill>
            <w14:solidFill>
              <w14:schemeClr w14:val="tx1"/>
            </w14:solidFill>
          </w14:textFill>
        </w:rPr>
        <w:t>第八篇  提升人口素质 均衡发展构建全龄友好型城市</w:t>
      </w:r>
      <w:bookmarkEnd w:id="162"/>
    </w:p>
    <w:p w14:paraId="278AC57F">
      <w:pPr>
        <w:spacing w:line="560" w:lineRule="exact"/>
        <w:rPr>
          <w:rFonts w:ascii="Times New Roman" w:hAnsi="Times New Roman" w:cs="Times New Roman"/>
          <w:color w:val="000000" w:themeColor="text1"/>
          <w14:textFill>
            <w14:solidFill>
              <w14:schemeClr w14:val="tx1"/>
            </w14:solidFill>
          </w14:textFill>
        </w:rPr>
      </w:pPr>
      <w:bookmarkStart w:id="163" w:name="_Toc218695893"/>
    </w:p>
    <w:p w14:paraId="25ACA881">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第十八章  办好人民满意的教育</w:t>
      </w:r>
      <w:bookmarkEnd w:id="149"/>
      <w:bookmarkEnd w:id="150"/>
      <w:bookmarkEnd w:id="161"/>
      <w:bookmarkEnd w:id="163"/>
    </w:p>
    <w:p w14:paraId="6BC92504">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牢牢把握新时代立德树人根本任务，统筹优化教育资源配置，改善办学条件，建设高素质师资队伍，转变育人方式，全面提升办学水平，提高教育公共服务质量，构建服务全民终身学习的教育体系。</w:t>
      </w:r>
    </w:p>
    <w:p w14:paraId="1E9E0796">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64" w:name="_Toc218695894"/>
      <w:r>
        <w:rPr>
          <w:rFonts w:ascii="Times New Roman" w:hAnsi="Times New Roman" w:eastAsia="方正楷体_GBK" w:cs="Times New Roman"/>
          <w:color w:val="000000" w:themeColor="text1"/>
          <w:kern w:val="0"/>
          <w:sz w:val="32"/>
          <w:szCs w:val="32"/>
          <w14:textFill>
            <w14:solidFill>
              <w14:schemeClr w14:val="tx1"/>
            </w14:solidFill>
          </w14:textFill>
        </w:rPr>
        <w:t>第一节  推动基础教育优质均衡发展</w:t>
      </w:r>
      <w:bookmarkEnd w:id="164"/>
    </w:p>
    <w:p w14:paraId="2F95C628">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推动学前教育普惠发展。</w:t>
      </w:r>
      <w:r>
        <w:rPr>
          <w:rFonts w:ascii="Times New Roman" w:hAnsi="Times New Roman" w:eastAsia="方正仿宋_GBK" w:cs="Times New Roman"/>
          <w:color w:val="000000" w:themeColor="text1"/>
          <w:sz w:val="32"/>
          <w:szCs w:val="32"/>
          <w14:textFill>
            <w14:solidFill>
              <w14:schemeClr w14:val="tx1"/>
            </w14:solidFill>
          </w14:textFill>
        </w:rPr>
        <w:t>进一步统筹城乡幼儿园布局调整和规划，加强幼儿园内涵建设，巩固国家学前教育普及普惠县创建成果，深化“普惠托育一体化”项目建设。加快学前教育普惠优质发展，实现公办省优质园全覆盖。实施课程游戏化建设工程，打造2-3个在省市有影响力的学前教育特色品牌。进一步完善暑期托管服务机制，规范收支行为，扩大覆盖范围，增强服务专业性。将幼小衔接工作全面纳入教研体系，建立幼儿园与小学“双向奔赴”的教研共同体。</w:t>
      </w:r>
    </w:p>
    <w:p w14:paraId="1FDFBD02">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强化义务教育均衡发展。</w:t>
      </w:r>
      <w:r>
        <w:rPr>
          <w:rFonts w:ascii="Times New Roman" w:hAnsi="Times New Roman" w:eastAsia="方正仿宋_GBK" w:cs="Times New Roman"/>
          <w:color w:val="000000" w:themeColor="text1"/>
          <w:sz w:val="32"/>
          <w:szCs w:val="32"/>
          <w14:textFill>
            <w14:solidFill>
              <w14:schemeClr w14:val="tx1"/>
            </w14:solidFill>
          </w14:textFill>
        </w:rPr>
        <w:t>以巩固全国义务教育优质均衡发展县为抓手，优化教育资源布局。深化集团化办学与学区制管理，将城区优质学校与小规模学校组建为学区共同体。严格执行“公民同招”与民办摇号政策，热点民办学校招生计划除政策性安置外实行100%摇号。持续提升教学质量，提高义务教育学校学业质量校际间均衡度。应对学龄人口波动，科学统筹调配基础教育资源，加强教师跨学校、跨学段、跨学科动态调整和余缺调配，打造一批“家门口的好学校”。</w:t>
      </w:r>
    </w:p>
    <w:p w14:paraId="6562AC59">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大力推进县中振兴。</w:t>
      </w:r>
      <w:r>
        <w:rPr>
          <w:rFonts w:ascii="Times New Roman" w:hAnsi="Times New Roman" w:eastAsia="方正仿宋_GBK" w:cs="Times New Roman"/>
          <w:color w:val="000000" w:themeColor="text1"/>
          <w:sz w:val="32"/>
          <w:szCs w:val="32"/>
          <w14:textFill>
            <w14:solidFill>
              <w14:schemeClr w14:val="tx1"/>
            </w14:solidFill>
          </w14:textFill>
        </w:rPr>
        <w:t>制定更具吸引力的名优教师引进政策，面向全国公开招聘紧缺学科骨干教师和优秀高校毕业生。完善教师激励机制，坚持县中振兴专项资金向绩效优秀的一线教师倾斜。深化“县管校聘”改革，赋予学校更大用人自主权。探索与省内外优质高中、高校建立“学术伙伴关系”，通过联合教研、学生研学等方式，引入高端教育资源。支持金湖中学建设科学特色高中，规划科技特色实验室、学科创新中心，持续推进完善拔尖创新人才小初高一体化培养，办好“金锋科学院创新班”“博雅班”等特色项目。</w:t>
      </w:r>
    </w:p>
    <w:p w14:paraId="157ABC22">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65" w:name="_Toc218695895"/>
      <w:r>
        <w:rPr>
          <w:rFonts w:ascii="Times New Roman" w:hAnsi="Times New Roman" w:eastAsia="方正楷体_GBK" w:cs="Times New Roman"/>
          <w:color w:val="000000" w:themeColor="text1"/>
          <w:kern w:val="0"/>
          <w:sz w:val="32"/>
          <w:szCs w:val="32"/>
          <w14:textFill>
            <w14:solidFill>
              <w14:schemeClr w14:val="tx1"/>
            </w14:solidFill>
          </w14:textFill>
        </w:rPr>
        <w:t>第二节  增强</w:t>
      </w:r>
      <w:bookmarkStart w:id="166" w:name="_Hlk214557844"/>
      <w:r>
        <w:rPr>
          <w:rFonts w:ascii="Times New Roman" w:hAnsi="Times New Roman" w:eastAsia="方正楷体_GBK" w:cs="Times New Roman"/>
          <w:color w:val="000000" w:themeColor="text1"/>
          <w:kern w:val="0"/>
          <w:sz w:val="32"/>
          <w:szCs w:val="32"/>
          <w14:textFill>
            <w14:solidFill>
              <w14:schemeClr w14:val="tx1"/>
            </w14:solidFill>
          </w14:textFill>
        </w:rPr>
        <w:t>职业教育服务发展能力</w:t>
      </w:r>
      <w:bookmarkEnd w:id="165"/>
      <w:bookmarkEnd w:id="166"/>
    </w:p>
    <w:p w14:paraId="20902A1D">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整合县域职业教育资源。</w:t>
      </w:r>
      <w:r>
        <w:rPr>
          <w:rFonts w:ascii="Times New Roman" w:hAnsi="Times New Roman" w:eastAsia="方正仿宋_GBK" w:cs="Times New Roman"/>
          <w:color w:val="000000" w:themeColor="text1"/>
          <w:sz w:val="32"/>
          <w:szCs w:val="32"/>
          <w14:textFill>
            <w14:solidFill>
              <w14:schemeClr w14:val="tx1"/>
            </w14:solidFill>
          </w14:textFill>
        </w:rPr>
        <w:t>支持金湖中专高质量办学，建成金湖中专新校区，持续推进金湖中专与金湖技工学校实质性融合，实现师资、设备、课程、实训基地等资源最大限度共享，构建统一的教学管理、质量评价和人才培养体系。引进高等职业学校入驻金湖，</w:t>
      </w:r>
      <w:r>
        <w:rPr>
          <w:rFonts w:hint="eastAsia" w:ascii="Times New Roman" w:hAnsi="Times New Roman" w:eastAsia="方正仿宋_GBK" w:cs="Times New Roman"/>
          <w:color w:val="000000" w:themeColor="text1"/>
          <w:sz w:val="32"/>
          <w:szCs w:val="32"/>
          <w14:textFill>
            <w14:solidFill>
              <w14:schemeClr w14:val="tx1"/>
            </w14:solidFill>
          </w14:textFill>
        </w:rPr>
        <w:t>大力支持金湖中专申报成为江苏联合职业技术学院办学单位，</w:t>
      </w:r>
      <w:r>
        <w:rPr>
          <w:rFonts w:ascii="Times New Roman" w:hAnsi="Times New Roman" w:eastAsia="方正仿宋_GBK" w:cs="Times New Roman"/>
          <w:color w:val="000000" w:themeColor="text1"/>
          <w:sz w:val="32"/>
          <w:szCs w:val="32"/>
          <w14:textFill>
            <w14:solidFill>
              <w14:schemeClr w14:val="tx1"/>
            </w14:solidFill>
          </w14:textFill>
        </w:rPr>
        <w:t>提升</w:t>
      </w:r>
      <w:r>
        <w:rPr>
          <w:rFonts w:hint="eastAsia" w:ascii="Times New Roman" w:hAnsi="Times New Roman" w:eastAsia="方正仿宋_GBK" w:cs="Times New Roman"/>
          <w:color w:val="000000" w:themeColor="text1"/>
          <w:sz w:val="32"/>
          <w:szCs w:val="32"/>
          <w14:textFill>
            <w14:solidFill>
              <w14:schemeClr w14:val="tx1"/>
            </w14:solidFill>
          </w14:textFill>
        </w:rPr>
        <w:t>金湖职业教育的</w:t>
      </w:r>
      <w:r>
        <w:rPr>
          <w:rFonts w:ascii="Times New Roman" w:hAnsi="Times New Roman" w:eastAsia="方正仿宋_GBK" w:cs="Times New Roman"/>
          <w:color w:val="000000" w:themeColor="text1"/>
          <w:sz w:val="32"/>
          <w:szCs w:val="32"/>
          <w14:textFill>
            <w14:solidFill>
              <w14:schemeClr w14:val="tx1"/>
            </w14:solidFill>
          </w14:textFill>
        </w:rPr>
        <w:t>办学层次和人才培养规格。与县内外能源装备、工业母机及工业机器人等企业共建产业学院，依托合作企业引入先进教育资源。推动特殊教育拓展融合、职业教育融通创新，探索中高职衔接、职普融通机制，深化人工智能赋能教育教学改革，推动“市域产教联合体”建设。</w:t>
      </w:r>
    </w:p>
    <w:p w14:paraId="55AC5222">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提升职业教育服务能力。</w:t>
      </w:r>
      <w:r>
        <w:rPr>
          <w:rFonts w:ascii="Times New Roman" w:hAnsi="Times New Roman" w:eastAsia="方正仿宋_GBK" w:cs="Times New Roman"/>
          <w:color w:val="000000" w:themeColor="text1"/>
          <w:sz w:val="32"/>
          <w:szCs w:val="32"/>
          <w14:textFill>
            <w14:solidFill>
              <w14:schemeClr w14:val="tx1"/>
            </w14:solidFill>
          </w14:textFill>
        </w:rPr>
        <w:t>加快技能型社会建设，深入推进校企合作，开展工学交替、订单班等人才培养模式改革，扩大试点专业范围，重点打造2-3个对接高端装备制造、新材料等产业的品牌专业群。建立校企双师互聘制度，提升兼具理论与实践教学能力的“双师型”教师占比至80%以上，培养市级以上行业领军型教学名师。支持职业学校强化赛训结合，举办职工职业技能竞赛，新增智能加工、能源装备技术等现代化实训设备，与企业共建共享一批高水平校内外实训基地，全面提升教学培训实践能力。扩大退役军人、企业职工、农村劳动力等群体培训覆盖面，打造退役军人培训特色品牌，建立“培训—考证—就业”一站式服务链条。</w:t>
      </w:r>
    </w:p>
    <w:p w14:paraId="4ED7B3A6">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推进终身教育发展。</w:t>
      </w:r>
      <w:bookmarkStart w:id="167" w:name="_Toc213057415"/>
      <w:bookmarkStart w:id="168" w:name="_Toc720021022"/>
      <w:r>
        <w:rPr>
          <w:rFonts w:ascii="Times New Roman" w:hAnsi="Times New Roman" w:eastAsia="方正仿宋_GBK" w:cs="Times New Roman"/>
          <w:color w:val="000000" w:themeColor="text1"/>
          <w:sz w:val="32"/>
          <w:szCs w:val="32"/>
          <w14:textFill>
            <w14:solidFill>
              <w14:schemeClr w14:val="tx1"/>
            </w14:solidFill>
          </w14:textFill>
        </w:rPr>
        <w:t>搭建县域终身学习智慧平台，建设“云端+实体”教学点，推广“AI+互助”教学模式，鼓励社区服务中心、农家书屋等场地改造为“迷你学习站”，实现资源下沉、就近学习。强化社区教育教师队伍建设，积极培育专职人员为骨干、兼职人员为主体、社区志愿者为主要力量的社区教育教师和管理员队伍。探索“政府主导+社会参与”资金支持模式，鼓励企业、社会组织捐赠或共建课程。通过县域媒体、社区公告、邻里宣讲等多种形式，宣传终身学习理念，分享学习典型案例，营造“人人皆学、处处能学”的社会风尚。</w:t>
      </w:r>
    </w:p>
    <w:p w14:paraId="186131C7">
      <w:pPr>
        <w:spacing w:line="560" w:lineRule="exact"/>
        <w:rPr>
          <w:rFonts w:ascii="Times New Roman" w:hAnsi="Times New Roman" w:cs="Times New Roman"/>
        </w:rPr>
      </w:pPr>
    </w:p>
    <w:p w14:paraId="4413C437">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169" w:name="_Toc214978115"/>
      <w:bookmarkStart w:id="170" w:name="_Toc218695896"/>
      <w:r>
        <w:rPr>
          <w:rFonts w:ascii="Times New Roman" w:hAnsi="Times New Roman" w:eastAsia="方正黑体_GBK" w:cs="Times New Roman"/>
          <w:color w:val="000000" w:themeColor="text1"/>
          <w:kern w:val="0"/>
          <w:sz w:val="32"/>
          <w:szCs w:val="32"/>
          <w14:textFill>
            <w14:solidFill>
              <w14:schemeClr w14:val="tx1"/>
            </w14:solidFill>
          </w14:textFill>
        </w:rPr>
        <w:t xml:space="preserve">第十九章 </w:t>
      </w:r>
      <w:bookmarkEnd w:id="167"/>
      <w:bookmarkEnd w:id="168"/>
      <w:bookmarkEnd w:id="169"/>
      <w:r>
        <w:rPr>
          <w:rFonts w:ascii="Times New Roman" w:hAnsi="Times New Roman" w:eastAsia="方正黑体_GBK" w:cs="Times New Roman"/>
          <w:color w:val="000000" w:themeColor="text1"/>
          <w:kern w:val="0"/>
          <w:sz w:val="32"/>
          <w:szCs w:val="32"/>
          <w14:textFill>
            <w14:solidFill>
              <w14:schemeClr w14:val="tx1"/>
            </w14:solidFill>
          </w14:textFill>
        </w:rPr>
        <w:t xml:space="preserve"> 持续推进健康金湖建设</w:t>
      </w:r>
      <w:bookmarkEnd w:id="170"/>
    </w:p>
    <w:p w14:paraId="455B54D0">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深入实施健康优先发展战略，持续深化医药卫生制度改革，推进公立医院高质量发展，促进优质医疗资源扩容下沉，加快县域医共体建设，加强医德医风建设，提升爱国卫生运动成效，强化基层服务能力水平建设，提高人均预期寿命和人民健康水平。</w:t>
      </w:r>
    </w:p>
    <w:p w14:paraId="5BD17971">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71" w:name="_Toc218695897"/>
      <w:r>
        <w:rPr>
          <w:rFonts w:ascii="Times New Roman" w:hAnsi="Times New Roman" w:eastAsia="方正楷体_GBK" w:cs="Times New Roman"/>
          <w:color w:val="000000" w:themeColor="text1"/>
          <w:kern w:val="0"/>
          <w:sz w:val="32"/>
          <w:szCs w:val="32"/>
          <w14:textFill>
            <w14:solidFill>
              <w14:schemeClr w14:val="tx1"/>
            </w14:solidFill>
          </w14:textFill>
        </w:rPr>
        <w:t>第一节  构建现代医疗卫生服务体系</w:t>
      </w:r>
      <w:bookmarkEnd w:id="171"/>
    </w:p>
    <w:p w14:paraId="0E2CC1A4">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优化医疗卫生机构布局。</w:t>
      </w:r>
      <w:r>
        <w:rPr>
          <w:rFonts w:ascii="Times New Roman" w:hAnsi="Times New Roman" w:eastAsia="方正仿宋_GBK" w:cs="Times New Roman"/>
          <w:color w:val="000000" w:themeColor="text1"/>
          <w:sz w:val="32"/>
          <w:szCs w:val="32"/>
          <w14:textFill>
            <w14:solidFill>
              <w14:schemeClr w14:val="tx1"/>
            </w14:solidFill>
          </w14:textFill>
        </w:rPr>
        <w:t>实施县级医院综合能力提升行动，支持县级医院向三级医院提档升级，建设临床重点专科，提升重点病种救治水平，培育“德医双馨”的专家队伍，增强县城医疗服务带动能力。推动城乡医疗卫生一体化发展，适应人口集中转移新形势，优化医疗机构功能定位，合理调整镇村医疗机构的数量、规模、布局，持续完善“15分钟健康服务圈”。</w:t>
      </w:r>
    </w:p>
    <w:p w14:paraId="660D5F08">
      <w:pPr>
        <w:spacing w:line="560" w:lineRule="exact"/>
        <w:ind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扎牢公共卫生防护网络。</w:t>
      </w:r>
      <w:r>
        <w:rPr>
          <w:rFonts w:ascii="Times New Roman" w:hAnsi="Times New Roman" w:eastAsia="方正仿宋_GBK" w:cs="Times New Roman"/>
          <w:color w:val="000000" w:themeColor="text1"/>
          <w:sz w:val="32"/>
          <w:szCs w:val="32"/>
          <w14:textFill>
            <w14:solidFill>
              <w14:schemeClr w14:val="tx1"/>
            </w14:solidFill>
          </w14:textFill>
        </w:rPr>
        <w:t>持续深化疾病预防控制体制改革，实现疾控技术能力与监督执法能力互为补充、互相促进、赋能增效。加强传染病监测预警、风险评估、应急处置救治，强化疫苗接种安全和重大传染病防控。完善院前急救及采供血机构建设，倡导无偿献血，持续完善服务体系。</w:t>
      </w:r>
    </w:p>
    <w:p w14:paraId="2A03A76D">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铸强基层卫生服务根基。</w:t>
      </w:r>
      <w:r>
        <w:rPr>
          <w:rFonts w:ascii="Times New Roman" w:hAnsi="Times New Roman" w:eastAsia="方正仿宋_GBK" w:cs="Times New Roman"/>
          <w:color w:val="000000" w:themeColor="text1"/>
          <w:sz w:val="32"/>
          <w:szCs w:val="32"/>
          <w14:textFill>
            <w14:solidFill>
              <w14:schemeClr w14:val="tx1"/>
            </w14:solidFill>
          </w14:textFill>
        </w:rPr>
        <w:t>实施医疗卫生强基工程，对部分镇村医疗卫生机构进行提质升级。推进镇村医疗卫生机构一体化管理，逐步将符合条件的村卫生室转为卫生院延伸服务点。</w:t>
      </w:r>
    </w:p>
    <w:p w14:paraId="693ABB30">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72" w:name="_Toc218695898"/>
      <w:r>
        <w:rPr>
          <w:rFonts w:ascii="Times New Roman" w:hAnsi="Times New Roman" w:eastAsia="方正楷体_GBK" w:cs="Times New Roman"/>
          <w:color w:val="000000" w:themeColor="text1"/>
          <w:kern w:val="0"/>
          <w:sz w:val="32"/>
          <w:szCs w:val="32"/>
          <w14:textFill>
            <w14:solidFill>
              <w14:schemeClr w14:val="tx1"/>
            </w14:solidFill>
          </w14:textFill>
        </w:rPr>
        <w:t>第二节  提供优质高效卫生健康服务</w:t>
      </w:r>
      <w:bookmarkEnd w:id="172"/>
    </w:p>
    <w:p w14:paraId="0D2C224B">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深化医药卫生体制改革。</w:t>
      </w:r>
      <w:r>
        <w:rPr>
          <w:rFonts w:ascii="Times New Roman" w:hAnsi="Times New Roman" w:eastAsia="方正仿宋_GBK" w:cs="Times New Roman"/>
          <w:color w:val="000000" w:themeColor="text1"/>
          <w:sz w:val="32"/>
          <w:szCs w:val="32"/>
          <w14:textFill>
            <w14:solidFill>
              <w14:schemeClr w14:val="tx1"/>
            </w14:solidFill>
          </w14:textFill>
        </w:rPr>
        <w:t>加强县内各公办医疗机构运行保障，以公益性为导向深化公立医院薪酬制度、综合监管改革，逐步化解县级医院债务。强化医疗、医保、医药协同发展和治理，促进分级诊疗。提升紧密型县域医共体运行质效，推进县域医共体功能中心建设，实现医共体内人、财、物、信息等充分整合、集约使用。到2030年，每千人口拥有执业（助理）医师数达到3.85人。</w:t>
      </w:r>
    </w:p>
    <w:p w14:paraId="712C4267">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提升医疗卫生技术水平。</w:t>
      </w:r>
      <w:r>
        <w:rPr>
          <w:rFonts w:ascii="Times New Roman" w:hAnsi="Times New Roman" w:eastAsia="方正仿宋_GBK" w:cs="Times New Roman"/>
          <w:color w:val="000000" w:themeColor="text1"/>
          <w:sz w:val="32"/>
          <w:szCs w:val="32"/>
          <w14:textFill>
            <w14:solidFill>
              <w14:schemeClr w14:val="tx1"/>
            </w14:solidFill>
          </w14:textFill>
        </w:rPr>
        <w:t>争取引进上海等地知名医院与县级医院挂牌深度合作，推动县级医疗卫生水平整体跃升。支持医疗卫生机构积极发展新技术、新项目，丰富医疗卫生领域应用场景，合理使用药品耗材，加强胸痛、卒中、创伤等中心一体化建设。补齐镇级医疗机构薄弱专科短板，形成“一院一品、全专并重、差异发展、优势互补”格局。</w:t>
      </w:r>
    </w:p>
    <w:p w14:paraId="49FC5B3C">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提高公共卫生服务质量。</w:t>
      </w:r>
      <w:r>
        <w:rPr>
          <w:rFonts w:ascii="Times New Roman" w:hAnsi="Times New Roman" w:eastAsia="方正仿宋_GBK" w:cs="Times New Roman"/>
          <w:color w:val="000000" w:themeColor="text1"/>
          <w:sz w:val="32"/>
          <w:szCs w:val="32"/>
          <w14:textFill>
            <w14:solidFill>
              <w14:schemeClr w14:val="tx1"/>
            </w14:solidFill>
          </w14:textFill>
        </w:rPr>
        <w:t>强化医防深度协调融合，提供全人群、全生命周期健康服务。加强慢性病综合防控，提供防治康管全链条服务，推进多病共防、多病共管和医防融合，提升家庭医生签约服务感受度。提升心理健康和精神卫生服务水平，关爱儿童青少年心理健康。探索社会资本参与合作模式，依托县人民医院开办月子中心、县中医院开展“安宁疗护”服务和养老服务，推进其他医疗机构开展“医康养残”融合服务。到2030年，人均预期寿命达到82岁。</w:t>
      </w:r>
    </w:p>
    <w:p w14:paraId="7144E356">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深化中医服务内涵建设。</w:t>
      </w:r>
      <w:r>
        <w:rPr>
          <w:rFonts w:ascii="Times New Roman" w:hAnsi="Times New Roman" w:eastAsia="方正仿宋_GBK" w:cs="Times New Roman"/>
          <w:color w:val="000000" w:themeColor="text1"/>
          <w:sz w:val="32"/>
          <w:szCs w:val="32"/>
          <w14:textFill>
            <w14:solidFill>
              <w14:schemeClr w14:val="tx1"/>
            </w14:solidFill>
          </w14:textFill>
        </w:rPr>
        <w:t>发挥县中医院带动作用，支持县人民医院扩展中医药服务范围，推进两所县级医院与知名中医医疗机构深入合作、开展共建。整合县内中医药资源，探索依托县中医院建设全县共享中药智能配置中心。发挥中医药在疾病预防、治疗、康复中的独特优势，深化中西医协同。鼓励医务人员参加中医药适宜技术培训和继续教育，持续提升中医药服务能力及水平，推动将中医药服务融入所有健康服务领域。</w:t>
      </w:r>
    </w:p>
    <w:p w14:paraId="7AD25293">
      <w:pPr>
        <w:keepNext/>
        <w:widowControl/>
        <w:spacing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73" w:name="_Toc218695899"/>
      <w:r>
        <w:rPr>
          <w:rFonts w:ascii="Times New Roman" w:hAnsi="Times New Roman" w:eastAsia="方正楷体_GBK" w:cs="Times New Roman"/>
          <w:color w:val="000000" w:themeColor="text1"/>
          <w:kern w:val="0"/>
          <w:sz w:val="32"/>
          <w:szCs w:val="32"/>
          <w14:textFill>
            <w14:solidFill>
              <w14:schemeClr w14:val="tx1"/>
            </w14:solidFill>
          </w14:textFill>
        </w:rPr>
        <w:t>第三节  深入开展全民健身运动</w:t>
      </w:r>
      <w:bookmarkEnd w:id="173"/>
    </w:p>
    <w:p w14:paraId="71B6C6D0">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统筹推进群众体育和竞技体育发展。</w:t>
      </w:r>
      <w:r>
        <w:rPr>
          <w:rFonts w:ascii="Times New Roman" w:hAnsi="Times New Roman" w:eastAsia="方正仿宋_GBK" w:cs="Times New Roman"/>
          <w:color w:val="000000" w:themeColor="text1"/>
          <w:sz w:val="32"/>
          <w:szCs w:val="32"/>
          <w14:textFill>
            <w14:solidFill>
              <w14:schemeClr w14:val="tx1"/>
            </w14:solidFill>
          </w14:textFill>
        </w:rPr>
        <w:t>推进体育赛事进景区、进公园、进街区、进商圈，广泛开展社区运动会、乡村体育比赛，实现月月有赛事、周周有活动。扩大社会体育指导员队伍，进一步完善体育网格员制度，推动社会体育指导员“亮明身份”服务。持续打造“悦动淮安”品牌赛事，做优大众蹦床锦标赛、三大球联赛、手球赛、“吕良·棋盘古镇杯”象棋公开赛等特色赛事。到2030年，实现经常锻炼人口比例超45%。</w:t>
      </w:r>
    </w:p>
    <w:p w14:paraId="0BF60BAF">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拓展全民健身新空间。</w:t>
      </w:r>
      <w:r>
        <w:rPr>
          <w:rFonts w:ascii="Times New Roman" w:hAnsi="Times New Roman" w:eastAsia="方正仿宋_GBK" w:cs="Times New Roman"/>
          <w:color w:val="000000" w:themeColor="text1"/>
          <w:sz w:val="32"/>
          <w:szCs w:val="32"/>
          <w14:textFill>
            <w14:solidFill>
              <w14:schemeClr w14:val="tx1"/>
            </w14:solidFill>
          </w14:textFill>
        </w:rPr>
        <w:t>加大体育场地设施供给，发掘城市各类“金角银边”，嵌入式建设运动场地设施。推动县体育中心、县体育馆全面实施节假日免费或低收费对公众开放，机关事业单位、国有企业带头开放可用于健身的空间。在保证校园安全前提下，鼓励有条件的学校在周末或节假日向公众开放体育设施。鼓励私营企业向社会开放自有健身设施。到2030年，人均体育场地面积达4.7平方米以上。</w:t>
      </w:r>
    </w:p>
    <w:p w14:paraId="6FD9BEBA">
      <w:pPr>
        <w:spacing w:line="560" w:lineRule="exact"/>
        <w:rPr>
          <w:rFonts w:ascii="Times New Roman" w:hAnsi="Times New Roman" w:cs="Times New Roman"/>
        </w:rPr>
      </w:pPr>
    </w:p>
    <w:p w14:paraId="792ADE43">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174" w:name="_Toc218695900"/>
      <w:bookmarkStart w:id="175" w:name="_Toc214978118"/>
      <w:bookmarkStart w:id="176" w:name="_Toc213057417"/>
      <w:bookmarkStart w:id="177" w:name="_Toc1396856594"/>
      <w:r>
        <w:rPr>
          <w:rFonts w:ascii="Times New Roman" w:hAnsi="Times New Roman" w:eastAsia="方正黑体_GBK" w:cs="Times New Roman"/>
          <w:color w:val="000000" w:themeColor="text1"/>
          <w:kern w:val="0"/>
          <w:sz w:val="32"/>
          <w:szCs w:val="32"/>
          <w14:textFill>
            <w14:solidFill>
              <w14:schemeClr w14:val="tx1"/>
            </w14:solidFill>
          </w14:textFill>
        </w:rPr>
        <w:t>第二十章  优化县域人口格局</w:t>
      </w:r>
      <w:bookmarkEnd w:id="174"/>
      <w:bookmarkEnd w:id="175"/>
      <w:bookmarkEnd w:id="176"/>
      <w:bookmarkEnd w:id="177"/>
    </w:p>
    <w:p w14:paraId="7C9D9830">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坚持人口长期均衡发展的战略定位，把握县域人口发展趋势，实施更为积极的人口政策，健全完善人口发展支持服务体系，加快提升县域人口集聚力，优化“一老一小”服务，促进人口增长与经济社会发展良性互动。</w:t>
      </w:r>
    </w:p>
    <w:p w14:paraId="44E46059">
      <w:pPr>
        <w:keepNext/>
        <w:widowControl/>
        <w:spacing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78" w:name="_Toc218695901"/>
      <w:r>
        <w:rPr>
          <w:rFonts w:ascii="Times New Roman" w:hAnsi="Times New Roman" w:eastAsia="方正楷体_GBK" w:cs="Times New Roman"/>
          <w:color w:val="000000" w:themeColor="text1"/>
          <w:kern w:val="0"/>
          <w:sz w:val="32"/>
          <w:szCs w:val="32"/>
          <w14:textFill>
            <w14:solidFill>
              <w14:schemeClr w14:val="tx1"/>
            </w14:solidFill>
          </w14:textFill>
        </w:rPr>
        <w:t>第一节  增强人口发展与服务能力</w:t>
      </w:r>
      <w:bookmarkEnd w:id="178"/>
    </w:p>
    <w:p w14:paraId="08511A5D">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建立人口吸引政策。</w:t>
      </w:r>
      <w:r>
        <w:rPr>
          <w:rFonts w:ascii="Times New Roman" w:hAnsi="Times New Roman" w:eastAsia="方正仿宋_GBK" w:cs="Times New Roman"/>
          <w:color w:val="000000" w:themeColor="text1"/>
          <w:sz w:val="32"/>
          <w:szCs w:val="32"/>
          <w14:textFill>
            <w14:solidFill>
              <w14:schemeClr w14:val="tx1"/>
            </w14:solidFill>
          </w14:textFill>
        </w:rPr>
        <w:t>建立全口径长周期人口吸引政策，支持人口家庭化迁移，优化随家庭成员迁移户口政策，探索扩大落户投靠范围，加强对外地人口吸引力。完善以家庭为单元的抚育、赡养、教育、住房、社会保障等政策，降低迁入家庭成本。建立人口信息库和监测统计制度，对户籍、常住、流动等人口数据实时监测，动态更新人口吸引政策。</w:t>
      </w:r>
    </w:p>
    <w:p w14:paraId="2A6D2812">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促进青年人口发展。</w:t>
      </w:r>
      <w:r>
        <w:rPr>
          <w:rFonts w:ascii="Times New Roman" w:hAnsi="Times New Roman" w:eastAsia="方正仿宋_GBK" w:cs="Times New Roman"/>
          <w:color w:val="000000" w:themeColor="text1"/>
          <w:sz w:val="32"/>
          <w:szCs w:val="32"/>
          <w14:textFill>
            <w14:solidFill>
              <w14:schemeClr w14:val="tx1"/>
            </w14:solidFill>
          </w14:textFill>
        </w:rPr>
        <w:t>加大面向青年群体的保障性租赁房供给。优化购房支持政策，加大住房公积金制度保障力度，探索“先租后售”等创新模式。完善青年婚育服务体系，构建新型婚育文化。在城市规划、建设、管理全过程体现青年元素，探索青年社区、街区、园区等基本单元建设，建设一批青年友好型社区。充分发挥青年生力军作用，动员青年在科技创新、城乡融合、绿色发展、公共服务、社会治理等重点领域挺膺担当。</w:t>
      </w:r>
    </w:p>
    <w:p w14:paraId="38A6FC8D">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加强新金湖人服务保障。</w:t>
      </w:r>
      <w:r>
        <w:rPr>
          <w:rFonts w:ascii="Times New Roman" w:hAnsi="Times New Roman" w:eastAsia="方正仿宋_GBK" w:cs="Times New Roman"/>
          <w:color w:val="000000" w:themeColor="text1"/>
          <w:sz w:val="32"/>
          <w:szCs w:val="32"/>
          <w14:textFill>
            <w14:solidFill>
              <w14:schemeClr w14:val="tx1"/>
            </w14:solidFill>
          </w14:textFill>
        </w:rPr>
        <w:t>加强新金湖人享受基本公共服务保障，解决就业、落户、婚姻、生育、子女教育、医疗、居住、出行、养老、文化和消费等服务问题，营造关爱新金湖人、善待</w:t>
      </w:r>
      <w:bookmarkStart w:id="179" w:name="_Hlk214913185"/>
      <w:r>
        <w:rPr>
          <w:rFonts w:ascii="Times New Roman" w:hAnsi="Times New Roman" w:eastAsia="方正仿宋_GBK" w:cs="Times New Roman"/>
          <w:color w:val="000000" w:themeColor="text1"/>
          <w:sz w:val="32"/>
          <w:szCs w:val="32"/>
          <w14:textFill>
            <w14:solidFill>
              <w14:schemeClr w14:val="tx1"/>
            </w14:solidFill>
          </w14:textFill>
        </w:rPr>
        <w:t>新金湖人</w:t>
      </w:r>
      <w:bookmarkEnd w:id="179"/>
      <w:r>
        <w:rPr>
          <w:rFonts w:ascii="Times New Roman" w:hAnsi="Times New Roman" w:eastAsia="方正仿宋_GBK" w:cs="Times New Roman"/>
          <w:color w:val="000000" w:themeColor="text1"/>
          <w:sz w:val="32"/>
          <w:szCs w:val="32"/>
          <w14:textFill>
            <w14:solidFill>
              <w14:schemeClr w14:val="tx1"/>
            </w14:solidFill>
          </w14:textFill>
        </w:rPr>
        <w:t>的社会氛围。设立“新市民服务窗口”，为外来人口提供落户、子女入学、婚姻登记、社会救助等“一站式”服务。组织团委、妇联、人社、工会等部门，定期举办“人才夜校”“家庭融入计划”“荷都之恋”相亲大会等活动，增强新金湖人归属感与认同感。</w:t>
      </w:r>
    </w:p>
    <w:p w14:paraId="79338808">
      <w:pPr>
        <w:keepNext/>
        <w:widowControl/>
        <w:spacing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80" w:name="_Toc218695902"/>
      <w:r>
        <w:rPr>
          <w:rFonts w:ascii="Times New Roman" w:hAnsi="Times New Roman" w:eastAsia="方正楷体_GBK" w:cs="Times New Roman"/>
          <w:color w:val="000000" w:themeColor="text1"/>
          <w:kern w:val="0"/>
          <w:sz w:val="32"/>
          <w:szCs w:val="32"/>
          <w14:textFill>
            <w14:solidFill>
              <w14:schemeClr w14:val="tx1"/>
            </w14:solidFill>
          </w14:textFill>
        </w:rPr>
        <w:t>第二节  健全生育支持政策</w:t>
      </w:r>
      <w:bookmarkEnd w:id="180"/>
    </w:p>
    <w:p w14:paraId="48F6A0CE">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落实完善生育支持政策。</w:t>
      </w:r>
      <w:r>
        <w:rPr>
          <w:rFonts w:ascii="Times New Roman" w:hAnsi="Times New Roman" w:eastAsia="方正仿宋_GBK" w:cs="Times New Roman"/>
          <w:color w:val="000000" w:themeColor="text1"/>
          <w:sz w:val="32"/>
          <w:szCs w:val="32"/>
          <w14:textFill>
            <w14:solidFill>
              <w14:schemeClr w14:val="tx1"/>
            </w14:solidFill>
          </w14:textFill>
        </w:rPr>
        <w:t>营造友好社会氛围，提倡适龄婚育、优生优育。构建政府、企业、家庭之间生育成本合理分担机制，加大育儿财政补贴“真金白银”投入。实施生育友好企业认证，鼓励设立“生育友好岗”，完善女性就业权益保障，严格落实产假、延长产假、男方护理假、哺乳假、育儿假等制度及相关待遇，落实差异化的个税抵扣及经济补贴政策。优化生殖健康服务，深入实施早孕关爱行动、母婴安全行动和出生缺陷防治能力提升计划，加强生育友好医院建设，增设高品质、普惠型产科床位，做优生育医疗保健服务，持续提升群众生育服务体验。</w:t>
      </w:r>
    </w:p>
    <w:p w14:paraId="3883C917">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增加优质普惠育幼服务供给</w:t>
      </w:r>
      <w:r>
        <w:rPr>
          <w:rFonts w:ascii="Times New Roman" w:hAnsi="Times New Roman" w:eastAsia="方正仿宋_GBK" w:cs="Times New Roman"/>
          <w:color w:val="000000" w:themeColor="text1"/>
          <w:sz w:val="32"/>
          <w:szCs w:val="32"/>
          <w14:textFill>
            <w14:solidFill>
              <w14:schemeClr w14:val="tx1"/>
            </w14:solidFill>
          </w14:textFill>
        </w:rPr>
        <w:t>。扩大普惠托育和托幼一体化服务供给，切实提高婴幼儿照护服务水平。探索发展社区嵌入式托育，建设一批社区嵌入式托育点。支持幼儿园资源向下延伸，为3岁以下幼儿提供托育服务。支持机关、企事业单位利用现有场地或设施为职工提供福利性托育服务。加强保教费减免、托育点建设方面政策与资金支持，减轻二胎及以上家庭教育压力。举办育婴员培训、保育师职业技能竞赛、托育机构从业人员培训等活动，持续提高保育人员持证率。优化困境儿童服务保障，统筹解决“托幼”、家长“伴读”以及“留守儿童”等阶段性、结构性社会问题。</w:t>
      </w:r>
    </w:p>
    <w:p w14:paraId="32C6516C">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81" w:name="_Toc218695903"/>
      <w:r>
        <w:rPr>
          <w:rFonts w:ascii="Times New Roman" w:hAnsi="Times New Roman" w:eastAsia="方正楷体_GBK" w:cs="Times New Roman"/>
          <w:color w:val="000000" w:themeColor="text1"/>
          <w:kern w:val="0"/>
          <w:sz w:val="32"/>
          <w:szCs w:val="32"/>
          <w14:textFill>
            <w14:solidFill>
              <w14:schemeClr w14:val="tx1"/>
            </w14:solidFill>
          </w14:textFill>
        </w:rPr>
        <w:t>第三节  积极应对人口老龄化</w:t>
      </w:r>
      <w:bookmarkEnd w:id="181"/>
    </w:p>
    <w:p w14:paraId="7D2E5C72">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健全养老服务网络。</w:t>
      </w:r>
      <w:r>
        <w:rPr>
          <w:rFonts w:ascii="Times New Roman" w:hAnsi="Times New Roman" w:eastAsia="方正仿宋_GBK" w:cs="Times New Roman"/>
          <w:color w:val="000000" w:themeColor="text1"/>
          <w:sz w:val="32"/>
          <w:szCs w:val="32"/>
          <w14:textFill>
            <w14:solidFill>
              <w14:schemeClr w14:val="tx1"/>
            </w14:solidFill>
          </w14:textFill>
        </w:rPr>
        <w:t>建设老年友好型社会，打造县级养老服务指导中心，统筹协调县域内养老资源，推动与医疗、文化等公共设施综合利用。依托镇（街）原有敬老院，建设综合养老服务中心，提供失能照护、助餐助浴、技能培训等服务。推动现有村（居）养老服务设施常态化运营，满足老年人日常文化娱乐需求。完善养老服务多元供给，依托互助养老睦邻点探索农村互助养老模式，建设老年食堂、老年活动中心等设施。加快推进城乡适老化改造，支持城乡社区组织、社会组织为老年人提供便利服务。提升区域性养老服务中心管理服务水平，推进养老机构标准化、规范化建设。提升养老服务人员的专业水平，开展养老护理员、老年人能力评估等培训，推动职业技能等级认定。到2030年，养老服务设施覆盖率达到100%，全县通过职业技能评价的养老护理员600人以上，养老服务人员培训规模达到1000人次以上。</w:t>
      </w:r>
    </w:p>
    <w:p w14:paraId="1196D230">
      <w:pPr>
        <w:spacing w:line="560" w:lineRule="exact"/>
        <w:ind w:firstLine="640" w:firstLineChars="200"/>
        <w:rPr>
          <w:rFonts w:ascii="Times New Roman" w:hAnsi="Times New Roman" w:eastAsia="方正小标宋_GBK" w:cs="Times New Roman"/>
          <w:color w:val="000000" w:themeColor="text1"/>
          <w:sz w:val="36"/>
          <w:szCs w:val="36"/>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大力发展银发经济。</w:t>
      </w:r>
      <w:r>
        <w:rPr>
          <w:rFonts w:ascii="Times New Roman" w:hAnsi="Times New Roman" w:eastAsia="方正仿宋_GBK" w:cs="Times New Roman"/>
          <w:color w:val="000000" w:themeColor="text1"/>
          <w:sz w:val="32"/>
          <w:szCs w:val="32"/>
          <w14:textFill>
            <w14:solidFill>
              <w14:schemeClr w14:val="tx1"/>
            </w14:solidFill>
          </w14:textFill>
        </w:rPr>
        <w:t>依托水乡、湿地、氧吧生态优势，打造“康养+旅居”养老品牌，积极引进社会资本建设“荷韵康养社区”“水上森林颐养中心”等中高端康复养老机构，打造“荷香康养”产业链，发展荷花主题养老旅居、养生食品、中医药保健等特色产品与服务。开发“候鸟式康养”产品，吸引长三角地区、南京都市圈人群来金旅居、养老。推进医养结合，对接上海、南京等地建立远程诊疗中心，打造医养综合体。发展养老照护服务产业，扩大老年助餐服务、拓展居家社区养老服务、完善机构照护服务、扩围适老化改造。积极开发老龄人力资源，探索“银发人才”新业态，支持符合条件的退休专业人才返聘再就业。</w:t>
      </w:r>
      <w:r>
        <w:rPr>
          <w:rFonts w:ascii="Times New Roman" w:hAnsi="Times New Roman" w:eastAsia="方正仿宋_GBK" w:cs="Times New Roman"/>
          <w:color w:val="000000" w:themeColor="text1"/>
          <w:kern w:val="0"/>
          <w:sz w:val="32"/>
          <w:szCs w:val="32"/>
          <w14:textFill>
            <w14:solidFill>
              <w14:schemeClr w14:val="tx1"/>
            </w14:solidFill>
          </w14:textFill>
        </w:rPr>
        <w:t>到2030年，养老产业产值规模年均增幅超15%。</w:t>
      </w:r>
      <w:bookmarkStart w:id="182" w:name="_Toc677546354"/>
      <w:bookmarkStart w:id="183" w:name="_Toc213057418"/>
      <w:bookmarkStart w:id="184" w:name="_Toc214978119"/>
    </w:p>
    <w:p w14:paraId="620A3CB3">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bookmarkStart w:id="185" w:name="_Toc218695904"/>
      <w:r>
        <w:rPr>
          <w:rFonts w:ascii="Times New Roman" w:hAnsi="Times New Roman" w:eastAsia="方正小标宋_GBK" w:cs="Times New Roman"/>
          <w:color w:val="000000" w:themeColor="text1"/>
          <w:sz w:val="36"/>
          <w:szCs w:val="36"/>
          <w14:textFill>
            <w14:solidFill>
              <w14:schemeClr w14:val="tx1"/>
            </w14:solidFill>
          </w14:textFill>
        </w:rPr>
        <w:t xml:space="preserve">第九篇  </w:t>
      </w:r>
      <w:bookmarkEnd w:id="182"/>
      <w:bookmarkEnd w:id="183"/>
      <w:bookmarkEnd w:id="184"/>
      <w:r>
        <w:rPr>
          <w:rFonts w:ascii="Times New Roman" w:hAnsi="Times New Roman" w:eastAsia="方正小标宋_GBK" w:cs="Times New Roman"/>
          <w:color w:val="000000" w:themeColor="text1"/>
          <w:sz w:val="36"/>
          <w:szCs w:val="36"/>
          <w14:textFill>
            <w14:solidFill>
              <w14:schemeClr w14:val="tx1"/>
            </w14:solidFill>
          </w14:textFill>
        </w:rPr>
        <w:t>筑牢安全基石 系统治理护航全域性平安金湖</w:t>
      </w:r>
      <w:bookmarkEnd w:id="185"/>
    </w:p>
    <w:p w14:paraId="7F36151A">
      <w:pPr>
        <w:pStyle w:val="29"/>
        <w:spacing w:after="0" w:line="560" w:lineRule="exact"/>
        <w:rPr>
          <w:rFonts w:ascii="Times New Roman" w:hAnsi="Times New Roman" w:cs="Times New Roman"/>
        </w:rPr>
      </w:pPr>
      <w:bookmarkStart w:id="186" w:name="_Toc213057419"/>
      <w:bookmarkStart w:id="187" w:name="_Toc218695905"/>
      <w:bookmarkStart w:id="188" w:name="_Toc1563275284"/>
      <w:bookmarkStart w:id="189" w:name="_Toc214978120"/>
    </w:p>
    <w:p w14:paraId="3DC780E2">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第二十一章  增强经济安全韧性</w:t>
      </w:r>
      <w:bookmarkEnd w:id="186"/>
      <w:bookmarkEnd w:id="187"/>
      <w:bookmarkEnd w:id="188"/>
      <w:bookmarkEnd w:id="189"/>
    </w:p>
    <w:p w14:paraId="29A8407C">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坚定不移贯彻总体国家安全观，全面落实党委（党组）国家安全责任制和社会稳定责任制，更好统筹发展和安全，树牢底线思维，健全完善风险防控工作机制，织牢织密经济金融安全防护网。</w:t>
      </w:r>
    </w:p>
    <w:p w14:paraId="36BE9B7B">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90" w:name="_Toc218695906"/>
      <w:r>
        <w:rPr>
          <w:rFonts w:ascii="Times New Roman" w:hAnsi="Times New Roman" w:eastAsia="方正楷体_GBK" w:cs="Times New Roman"/>
          <w:color w:val="000000" w:themeColor="text1"/>
          <w:kern w:val="0"/>
          <w:sz w:val="32"/>
          <w:szCs w:val="32"/>
          <w14:textFill>
            <w14:solidFill>
              <w14:schemeClr w14:val="tx1"/>
            </w14:solidFill>
          </w14:textFill>
        </w:rPr>
        <w:t>第一节  保障粮食和能源资源安全</w:t>
      </w:r>
      <w:bookmarkEnd w:id="190"/>
    </w:p>
    <w:p w14:paraId="495F8DA2">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坚守粮食安全底线。</w:t>
      </w:r>
      <w:r>
        <w:rPr>
          <w:rFonts w:ascii="Times New Roman" w:hAnsi="Times New Roman" w:eastAsia="方正仿宋_GBK" w:cs="Times New Roman"/>
          <w:color w:val="000000" w:themeColor="text1"/>
          <w:kern w:val="0"/>
          <w:sz w:val="32"/>
          <w:szCs w:val="32"/>
          <w14:textFill>
            <w14:solidFill>
              <w14:schemeClr w14:val="tx1"/>
            </w14:solidFill>
          </w14:textFill>
        </w:rPr>
        <w:t>严守永久基本农田保护红线，强化耕地种植用途管制，推进土地整治改造提升，落实“以补定占”政策，健全补充耕地质量验收制度。守护“米袋子”“菜篮子”，压实粮食安全责任制，加强优质高产种子品种培育推广，稳定粮食、生猪和蛋奶等重点农产品的生产供应，</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构建多元食物供给系统。健全农业防灾减灾预警机制，完善农村保险服务体系，开展粮食节约和反食</w:t>
      </w:r>
      <w:r>
        <w:rPr>
          <w:rFonts w:ascii="Times New Roman" w:hAnsi="Times New Roman" w:eastAsia="方正仿宋_GBK" w:cs="Times New Roman"/>
          <w:color w:val="000000" w:themeColor="text1"/>
          <w:kern w:val="0"/>
          <w:sz w:val="32"/>
          <w:szCs w:val="32"/>
          <w14:textFill>
            <w14:solidFill>
              <w14:schemeClr w14:val="tx1"/>
            </w14:solidFill>
          </w14:textFill>
        </w:rPr>
        <w:t>品浪费行动。</w:t>
      </w:r>
    </w:p>
    <w:p w14:paraId="71C9526B">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维护能源资源安全。</w:t>
      </w:r>
      <w:r>
        <w:rPr>
          <w:rFonts w:ascii="Times New Roman" w:hAnsi="Times New Roman" w:eastAsia="方正仿宋_GBK" w:cs="Times New Roman"/>
          <w:color w:val="000000" w:themeColor="text1"/>
          <w:kern w:val="0"/>
          <w:sz w:val="32"/>
          <w:szCs w:val="32"/>
          <w14:textFill>
            <w14:solidFill>
              <w14:schemeClr w14:val="tx1"/>
            </w14:solidFill>
          </w14:textFill>
        </w:rPr>
        <w:t>保障能源供应安全，重点维护水利、电力、油气等战略管道和关键节点安全，加强能源管理，完善节水节能措施，满足生产经营和生活需要。推广清洁能源应用，持续提高清洁和可再生能源利用比例，推进氢能源、太阳能向工业领域拓展，扩大风能、生物质能等新兴能源利用规模。提升天然气供给能力，完善天然气管网及其配套设施，建设天然气储气设施项目，提升天然气储气调峰能力。</w:t>
      </w:r>
    </w:p>
    <w:p w14:paraId="536BD984">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91" w:name="_Toc218695907"/>
      <w:r>
        <w:rPr>
          <w:rFonts w:ascii="Times New Roman" w:hAnsi="Times New Roman" w:eastAsia="方正楷体_GBK" w:cs="Times New Roman"/>
          <w:color w:val="000000" w:themeColor="text1"/>
          <w:kern w:val="0"/>
          <w:sz w:val="32"/>
          <w:szCs w:val="32"/>
          <w14:textFill>
            <w14:solidFill>
              <w14:schemeClr w14:val="tx1"/>
            </w14:solidFill>
          </w14:textFill>
        </w:rPr>
        <w:t>第二节  防范化解重点领域风险</w:t>
      </w:r>
      <w:bookmarkEnd w:id="191"/>
    </w:p>
    <w:p w14:paraId="6B848686">
      <w:pPr>
        <w:pStyle w:val="29"/>
        <w:spacing w:after="0" w:line="560" w:lineRule="exact"/>
        <w:ind w:left="0" w:leftChars="0" w:firstLine="64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防范地方政府债务风险。</w:t>
      </w:r>
      <w:r>
        <w:rPr>
          <w:rFonts w:ascii="Times New Roman" w:hAnsi="Times New Roman" w:eastAsia="方正仿宋_GBK" w:cs="Times New Roman"/>
          <w:color w:val="000000" w:themeColor="text1"/>
          <w:kern w:val="0"/>
          <w:sz w:val="32"/>
          <w:szCs w:val="32"/>
          <w14:textFill>
            <w14:solidFill>
              <w14:schemeClr w14:val="tx1"/>
            </w14:solidFill>
          </w14:textFill>
        </w:rPr>
        <w:t>积极做好经济指标预警分析，完善经济关键领域的安全防范</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机制。落实全口径债务管理长效机制，强化法定债务管理，确保提质增效。摸底债务风险隐患台账和问题清单</w:t>
      </w:r>
      <w:r>
        <w:rPr>
          <w:rFonts w:ascii="Times New Roman" w:hAnsi="Times New Roman" w:eastAsia="方正仿宋_GBK" w:cs="Times New Roman"/>
          <w:color w:val="000000" w:themeColor="text1"/>
          <w:kern w:val="0"/>
          <w:sz w:val="32"/>
          <w:szCs w:val="32"/>
          <w14:textFill>
            <w14:solidFill>
              <w14:schemeClr w14:val="tx1"/>
            </w14:solidFill>
          </w14:textFill>
        </w:rPr>
        <w:t>，精准制定债务化解方案，坚决遏制隐性债务增量。严控国企带息债务，守住债务规模和成本“双控线”，实施债务源头有效把控，全面加强国企融资及资金监管，筑牢安全底线。</w:t>
      </w:r>
    </w:p>
    <w:p w14:paraId="5629C042">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增强产业体系抗冲击能力。</w:t>
      </w:r>
      <w:r>
        <w:rPr>
          <w:rFonts w:ascii="Times New Roman" w:hAnsi="Times New Roman" w:eastAsia="方正仿宋_GBK" w:cs="Times New Roman"/>
          <w:color w:val="000000" w:themeColor="text1"/>
          <w:kern w:val="0"/>
          <w:sz w:val="32"/>
          <w:szCs w:val="32"/>
          <w14:textFill>
            <w14:solidFill>
              <w14:schemeClr w14:val="tx1"/>
            </w14:solidFill>
          </w14:textFill>
        </w:rPr>
        <w:t>围绕工业普查、产业数据统计反映的苗头性、倾向性问题，开展专题分析研判。强化重大装备、关键部件、生产原料等资源储备。持续关注新一轮科技革命中人工智能、加密货币等领域的安全隐患及风险传导。加强网络、数据、人工智能、生物、生态、低空等新兴领域安全能力建设，加强风险隐患预警研判排查，强化新技术新应用安全监管。</w:t>
      </w:r>
    </w:p>
    <w:p w14:paraId="1AC18E4D">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筑牢金融安全防线。</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促进金融企业稳健审慎经营，压实机构主体责任，完善公司治理与风险内控机制。构建金融“大消保”格局，建立常态化金融知识宣教、纠纷多元化解机制，切实维护群众合法权益。紧盯网络金融风险，严厉整治涉众型互联网金融骗局。保持打击非法金融活动的高压态势，加强涉金融属性字样企业清理规范，依法严惩非法集资、虚拟货币洗钱等违法犯罪行为，守护人民群众“钱袋子”。加强信用风险管控，持续完善“监测预警、介入处置、有效防御”风险防控体系，加大不良资产处置力度，优化风险核销资源配置。积极稳妥化解房地产领域风险。</w:t>
      </w:r>
    </w:p>
    <w:p w14:paraId="0E7CF026">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192" w:name="_Toc213057420"/>
      <w:bookmarkStart w:id="193" w:name="_Toc1652760790"/>
      <w:bookmarkStart w:id="194" w:name="_Toc218695908"/>
      <w:bookmarkStart w:id="195" w:name="_Toc214978121"/>
      <w:r>
        <w:rPr>
          <w:rFonts w:ascii="Times New Roman" w:hAnsi="Times New Roman" w:eastAsia="方正黑体_GBK" w:cs="Times New Roman"/>
          <w:color w:val="000000" w:themeColor="text1"/>
          <w:kern w:val="0"/>
          <w:sz w:val="32"/>
          <w:szCs w:val="32"/>
          <w14:textFill>
            <w14:solidFill>
              <w14:schemeClr w14:val="tx1"/>
            </w14:solidFill>
          </w14:textFill>
        </w:rPr>
        <w:t>第二十二章  提升公共安全治理水平</w:t>
      </w:r>
      <w:bookmarkEnd w:id="192"/>
      <w:bookmarkEnd w:id="193"/>
      <w:bookmarkEnd w:id="194"/>
      <w:bookmarkEnd w:id="195"/>
    </w:p>
    <w:p w14:paraId="6A15A2EA">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坚持系统思维，综合施策运用法治、科技、市场等多种手段，构建立体化建管防治体系，推动多元协同治理，保障人民群众生命财产安全和社会大局稳定。</w:t>
      </w:r>
    </w:p>
    <w:p w14:paraId="5B17E54A">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96" w:name="_Toc218695909"/>
      <w:r>
        <w:rPr>
          <w:rFonts w:ascii="Times New Roman" w:hAnsi="Times New Roman" w:eastAsia="方正楷体_GBK" w:cs="Times New Roman"/>
          <w:color w:val="000000" w:themeColor="text1"/>
          <w:kern w:val="0"/>
          <w:sz w:val="32"/>
          <w:szCs w:val="32"/>
          <w14:textFill>
            <w14:solidFill>
              <w14:schemeClr w14:val="tx1"/>
            </w14:solidFill>
          </w14:textFill>
        </w:rPr>
        <w:t>第一节  完善应急管理体系和能力</w:t>
      </w:r>
      <w:bookmarkEnd w:id="196"/>
    </w:p>
    <w:p w14:paraId="3EC43282">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健全应急管理体系。</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深入推进应急管理体系和能力现代化建设，形成统一指挥、专常兼备、反应灵敏、上下联动的应急管理体制。更新完善县级突发事件总体应急预案及专项预案，健全跨部门、跨层级预案衔接机制，推动预案上下贯通、左右联动。加强综合应急救援队伍建设，支持引导社会力量规范有序参与应急救援行动，完善突发事件社会协同防范应对体系，提升全民安全素质和应急意识。坚持平战结合，健全应急救援联动机制，深化区域应急救援协作，常态化开展应急演练、比武训练、救援培训，提升应急处置能力。构建完善全灾种、全域覆盖的应急通信保障体系，提高“三断”等极端条件下通信保障能力。全力支持国防和军队现代化建设，深化全民国防教育，加快国防动员能力建设，加强后备力量建设。</w:t>
      </w:r>
    </w:p>
    <w:p w14:paraId="07D26AEA">
      <w:pPr>
        <w:pStyle w:val="29"/>
        <w:spacing w:after="0" w:line="560" w:lineRule="exact"/>
        <w:ind w:left="0" w:leftChars="0"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提升防灾减灾能力。</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完善自然灾害风险评估和监测预警体系，加强气象、地震、洪涝、干旱、疫病等自然灾害监测预警预报，提高防灾减灾救灾和重大突发公共事件处置保障能力。健全直达应急信息员的“叫应”和“响应”机制，构建“县级负责、镇街主体、村组落实”的灾害防范应对责任体系。健全政府和保险机构防灾减灾救灾协同联动机制，建立规范合理的风险损失分担机制。加强公民安全普法教育，推进防灾减灾救灾宣传科普，提升全社会安全意识和自救互救能力。推进防汛抗旱、防震减灾、森林防火等防灾减灾救灾急需工程项目建设和技术装备推广应用，深化应急避难场所“规建管用”体系建设，加强应急物资保障和储备，建立快速调拨投送机制。</w:t>
      </w:r>
      <w:r>
        <w:rPr>
          <w:rFonts w:ascii="Times New Roman" w:hAnsi="Times New Roman" w:eastAsia="方正仿宋_GBK" w:cs="Times New Roman"/>
          <w:color w:val="000000" w:themeColor="text1"/>
          <w:sz w:val="32"/>
          <w:szCs w:val="32"/>
          <w14:textFill>
            <w14:solidFill>
              <w14:schemeClr w14:val="tx1"/>
            </w14:solidFill>
          </w14:textFill>
        </w:rPr>
        <w:t>推动消防安全治理模式向事前预防转型，扎实推进消防安全系列专项整治，有效防范新兴领域等消防安全风险，加强社会化消防安全宣传培训，</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依法建设政府专职消防救援队伍，</w:t>
      </w:r>
      <w:r>
        <w:rPr>
          <w:rFonts w:ascii="Times New Roman" w:hAnsi="Times New Roman" w:eastAsia="方正仿宋_GBK" w:cs="Times New Roman"/>
          <w:color w:val="000000" w:themeColor="text1"/>
          <w:sz w:val="32"/>
          <w:szCs w:val="32"/>
          <w14:textFill>
            <w14:solidFill>
              <w14:schemeClr w14:val="tx1"/>
            </w14:solidFill>
          </w14:textFill>
        </w:rPr>
        <w:t>确保消防安全形势平稳。</w:t>
      </w:r>
    </w:p>
    <w:p w14:paraId="2E5C43A3">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197" w:name="_Toc218695910"/>
      <w:r>
        <w:rPr>
          <w:rFonts w:ascii="Times New Roman" w:hAnsi="Times New Roman" w:eastAsia="方正楷体_GBK" w:cs="Times New Roman"/>
          <w:color w:val="000000" w:themeColor="text1"/>
          <w:kern w:val="0"/>
          <w:sz w:val="32"/>
          <w:szCs w:val="32"/>
          <w14:textFill>
            <w14:solidFill>
              <w14:schemeClr w14:val="tx1"/>
            </w14:solidFill>
          </w14:textFill>
        </w:rPr>
        <w:t>第二节  增强公共安全保障能力</w:t>
      </w:r>
      <w:bookmarkEnd w:id="197"/>
    </w:p>
    <w:p w14:paraId="249B99A3">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健全社会治安防控。</w:t>
      </w:r>
      <w:r>
        <w:rPr>
          <w:rFonts w:ascii="Times New Roman" w:hAnsi="Times New Roman" w:eastAsia="方正仿宋_GBK" w:cs="Times New Roman"/>
          <w:color w:val="000000" w:themeColor="text1"/>
          <w:sz w:val="32"/>
          <w:szCs w:val="32"/>
          <w14:textFill>
            <w14:solidFill>
              <w14:schemeClr w14:val="tx1"/>
            </w14:solidFill>
          </w14:textFill>
        </w:rPr>
        <w:t>高标准建设“平安金湖”，</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建立全方位、立体化社会治安防控系统，完善智慧平安网格，推进派出所社区警务室实体化运行，与社区服务中心双向联动。</w:t>
      </w:r>
      <w:r>
        <w:rPr>
          <w:rFonts w:ascii="Times New Roman" w:hAnsi="Times New Roman" w:eastAsia="方正仿宋_GBK" w:cs="Times New Roman"/>
          <w:color w:val="000000" w:themeColor="text1"/>
          <w:sz w:val="32"/>
          <w:szCs w:val="32"/>
          <w14:textFill>
            <w14:solidFill>
              <w14:schemeClr w14:val="tx1"/>
            </w14:solidFill>
          </w14:textFill>
        </w:rPr>
        <w:t>完善“专业+机制+大数据”新型警务运行模式，常态化推进扫黑除恶专项斗争，深入打击电信网络诈骗、盗窃骗、黄赌毒、食药环等犯罪，强化未成年人违法犯罪预防和治理。深化网络空间安全综合治理，依法打击整治网络谣言等违法犯罪。</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实施公安机关新质战斗力提升工程，落实公安部“四新”要求，按照“1+5+N”现代警务机制体系框架，广泛应用新技术装备，推动智慧公安全面升级，构建完善以情报指挥中心为龙头、实战中心为支撑、力量要素联动为保障的融合作战模式。落实大型文体活动报批制度，做好群众节庆聚集活动安全保障。“十五五”期间，公众安全感保持在99%以上。</w:t>
      </w:r>
    </w:p>
    <w:p w14:paraId="0061B864">
      <w:pPr>
        <w:spacing w:line="560" w:lineRule="exact"/>
        <w:ind w:firstLine="640" w:firstLineChars="200"/>
        <w:rPr>
          <w:rFonts w:ascii="Times New Roman" w:hAnsi="Times New Roman" w:eastAsia="方正楷体_GBK" w:cs="Times New Roman"/>
          <w:color w:val="000000" w:themeColor="text1"/>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完善安全生产防控。</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深入实施安全生产治本攻坚行动，扎实推进安全生产“六化”建设，健全安全生产责任落实体系，优化党政领导干部“双挂钩一领办”机制，强化“一件事”全链条治理，加强新业态、新场景监管。</w:t>
      </w:r>
      <w:r>
        <w:rPr>
          <w:rFonts w:ascii="Times New Roman" w:hAnsi="Times New Roman" w:eastAsia="方正仿宋_GBK" w:cs="Times New Roman"/>
          <w:color w:val="000000" w:themeColor="text1"/>
          <w:sz w:val="32"/>
          <w:szCs w:val="32"/>
          <w14:textFill>
            <w14:solidFill>
              <w14:schemeClr w14:val="tx1"/>
            </w14:solidFill>
          </w14:textFill>
        </w:rPr>
        <w:t>推进道路交通、</w:t>
      </w:r>
      <w:r>
        <w:rPr>
          <w:rFonts w:hint="eastAsia" w:ascii="Times New Roman" w:hAnsi="Times New Roman" w:eastAsia="方正仿宋_GBK" w:cs="Times New Roman"/>
          <w:color w:val="000000" w:themeColor="text1"/>
          <w:sz w:val="32"/>
          <w:szCs w:val="32"/>
          <w14:textFill>
            <w14:solidFill>
              <w14:schemeClr w14:val="tx1"/>
            </w14:solidFill>
          </w14:textFill>
        </w:rPr>
        <w:t>既有建筑</w:t>
      </w:r>
      <w:r>
        <w:rPr>
          <w:rFonts w:ascii="Times New Roman" w:hAnsi="Times New Roman" w:eastAsia="方正仿宋_GBK" w:cs="Times New Roman"/>
          <w:color w:val="000000" w:themeColor="text1"/>
          <w:sz w:val="32"/>
          <w:szCs w:val="32"/>
          <w14:textFill>
            <w14:solidFill>
              <w14:schemeClr w14:val="tx1"/>
            </w14:solidFill>
          </w14:textFill>
        </w:rPr>
        <w:t>、危化品、工贸、消防等重点行业的专项整治，清单化推进重大风险隐患销号攻坚。</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构建安全风险防控体系，深化安全风险网上报告信息平台和社会面小场所安全治理平台应用，优化安全风险监测预警系统，完善县镇两级安全生产和消防安全巡查、隐患治理网络，推动风险治理从隐患整治向源头防控转变。强化企业主体责任，健全生产经营单位重大事故隐患自查自改机制和内部报告奖励机制，探索开发人工智能在安全生产领域的应用场景，提升本质安全水平，坚决预防和遏制重特大事故发生。</w:t>
      </w:r>
    </w:p>
    <w:p w14:paraId="3FEB9451">
      <w:pPr>
        <w:spacing w:line="560" w:lineRule="exact"/>
        <w:ind w:firstLine="640" w:firstLineChars="200"/>
        <w:rPr>
          <w:rFonts w:ascii="Times New Roman" w:hAnsi="Times New Roman" w:eastAsia="方正仿宋_GBK" w:cs="Times New Roman"/>
          <w:color w:val="000000" w:themeColor="text1"/>
          <w:spacing w:val="5"/>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强化食品药品安全防控</w:t>
      </w:r>
      <w:r>
        <w:rPr>
          <w:rFonts w:ascii="Times New Roman" w:hAnsi="Times New Roman" w:eastAsia="方正楷体_GBK" w:cs="Times New Roman"/>
          <w:color w:val="000000" w:themeColor="text1"/>
          <w:spacing w:val="5"/>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促进食品安全全链条监管，健全从源头到餐桌的食品安全防控体系，</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强化重点领域监管力度，加强对食品运输、寄递和配送、网络食品销售新业态、餐饮服务及进口食品等多环节监管。深化药品安全整治，健全完善智慧药品全流程数字化监管模式，</w:t>
      </w:r>
      <w:r>
        <w:rPr>
          <w:rFonts w:ascii="Times New Roman" w:hAnsi="Times New Roman" w:eastAsia="方正仿宋_GBK" w:cs="Times New Roman"/>
          <w:color w:val="000000" w:themeColor="text1"/>
          <w:spacing w:val="5"/>
          <w:sz w:val="32"/>
          <w:szCs w:val="32"/>
          <w14:textFill>
            <w14:solidFill>
              <w14:schemeClr w14:val="tx1"/>
            </w14:solidFill>
          </w14:textFill>
        </w:rPr>
        <w:t>重点抓好医疗器械、医美产品、保健药品等高风险产品监管，加强药品进口监管，全面加强</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网络市场监管，推进危废药</w:t>
      </w:r>
      <w:r>
        <w:rPr>
          <w:rFonts w:ascii="Times New Roman" w:hAnsi="Times New Roman" w:eastAsia="方正仿宋_GBK" w:cs="Times New Roman"/>
          <w:color w:val="000000" w:themeColor="text1"/>
          <w:spacing w:val="5"/>
          <w:sz w:val="32"/>
          <w:szCs w:val="32"/>
          <w14:textFill>
            <w14:solidFill>
              <w14:schemeClr w14:val="tx1"/>
            </w14:solidFill>
          </w14:textFill>
        </w:rPr>
        <w:t>品回收登记。到2030年，食品抽检合格率、药品抽检合格率均达到98%。</w:t>
      </w:r>
    </w:p>
    <w:p w14:paraId="79A50E4B">
      <w:pPr>
        <w:pStyle w:val="29"/>
        <w:spacing w:after="0" w:line="560" w:lineRule="exact"/>
        <w:rPr>
          <w:rFonts w:ascii="Times New Roman" w:hAnsi="Times New Roman" w:cs="Times New Roman"/>
        </w:rPr>
      </w:pPr>
    </w:p>
    <w:p w14:paraId="4BA5C5E9">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bookmarkStart w:id="198" w:name="_Toc218695911"/>
      <w:bookmarkStart w:id="199" w:name="_Toc249623585"/>
      <w:bookmarkStart w:id="200" w:name="_Toc213057421"/>
      <w:bookmarkStart w:id="201" w:name="_Toc214978122"/>
      <w:r>
        <w:rPr>
          <w:rFonts w:ascii="Times New Roman" w:hAnsi="Times New Roman" w:eastAsia="方正黑体_GBK" w:cs="Times New Roman"/>
          <w:color w:val="000000" w:themeColor="text1"/>
          <w:kern w:val="0"/>
          <w:sz w:val="32"/>
          <w:szCs w:val="32"/>
          <w14:textFill>
            <w14:solidFill>
              <w14:schemeClr w14:val="tx1"/>
            </w14:solidFill>
          </w14:textFill>
        </w:rPr>
        <w:t>第二十三章  推进社会治理现代化</w:t>
      </w:r>
      <w:bookmarkEnd w:id="198"/>
      <w:bookmarkEnd w:id="199"/>
      <w:bookmarkEnd w:id="200"/>
      <w:bookmarkEnd w:id="201"/>
    </w:p>
    <w:p w14:paraId="31A665BF">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坚持法治金湖、法治政府、法治社会一体建设，着眼提升社会治理科学化、法治化、网络化水平，发挥党建引领优势，汇聚各方资源力量，推进社会治理现代化，打造践行全过程人民民主县域典范。</w:t>
      </w:r>
    </w:p>
    <w:p w14:paraId="579A0BA7">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202" w:name="_Toc218695912"/>
      <w:r>
        <w:rPr>
          <w:rFonts w:ascii="Times New Roman" w:hAnsi="Times New Roman" w:eastAsia="方正楷体_GBK" w:cs="Times New Roman"/>
          <w:color w:val="000000" w:themeColor="text1"/>
          <w:kern w:val="0"/>
          <w:sz w:val="32"/>
          <w:szCs w:val="32"/>
          <w14:textFill>
            <w14:solidFill>
              <w14:schemeClr w14:val="tx1"/>
            </w14:solidFill>
          </w14:textFill>
        </w:rPr>
        <w:t>第一节  推进民主法治建设</w:t>
      </w:r>
      <w:bookmarkEnd w:id="202"/>
    </w:p>
    <w:p w14:paraId="4BBDF982">
      <w:pPr>
        <w:snapToGrid w:val="0"/>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发展社会主义民主政治。</w:t>
      </w:r>
      <w:r>
        <w:rPr>
          <w:rFonts w:ascii="Times New Roman" w:hAnsi="Times New Roman" w:eastAsia="方正仿宋_GBK" w:cs="Times New Roman"/>
          <w:color w:val="000000" w:themeColor="text1"/>
          <w:kern w:val="0"/>
          <w:sz w:val="32"/>
          <w:szCs w:val="32"/>
          <w14:textFill>
            <w14:solidFill>
              <w14:schemeClr w14:val="tx1"/>
            </w14:solidFill>
          </w14:textFill>
        </w:rPr>
        <w:t>坚持和完善人民代表大会制度，确保人民群众民主权利、合法权益得到维护和实现。坚持和完善中国共产党领导的多党合作和政治协商制度，发挥人民政协专门协商机构作用。完善大统战工作格局，巩固和发展最广泛的爱国统一战线。促进各民族交往交流交融，加强宗教事务治理法治化。更好发挥共青团、妇联、残联、工商联等群团组织和党外人士作用，把各方群众团结凝聚到党的事业中。</w:t>
      </w:r>
    </w:p>
    <w:p w14:paraId="5219C306">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强化法治政府建设。</w:t>
      </w:r>
      <w:r>
        <w:rPr>
          <w:rFonts w:ascii="Times New Roman" w:hAnsi="Times New Roman" w:eastAsia="方正仿宋_GBK" w:cs="Times New Roman"/>
          <w:color w:val="000000" w:themeColor="text1"/>
          <w:kern w:val="0"/>
          <w:sz w:val="32"/>
          <w:szCs w:val="32"/>
          <w14:textFill>
            <w14:solidFill>
              <w14:schemeClr w14:val="tx1"/>
            </w14:solidFill>
          </w14:textFill>
        </w:rPr>
        <w:t>推进政府机构、职能、权限、程序、责任法定化，依法全面正确履行政府职能。严格执行重大行政决策程序规定，加强合法性审查，确保行政决策合法合规。健全基层法治审核职责体系，强化镇（街）法治审核力量和机制建设。完善行政执法协调监督机制，加大对重点领域行政执法行为的监督力度。加强行政复议与诉讼衔接，畅通行政复议申请渠道，提高办案质效，力争实现行政诉讼“零败诉”。深化政务公开，提高政务公开制度化、标准化和信息化水平，保障群众知情权、参与权和监督权。</w:t>
      </w:r>
    </w:p>
    <w:p w14:paraId="415B8C01">
      <w:pPr>
        <w:snapToGrid w:val="0"/>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促进严格公正司法。</w:t>
      </w:r>
      <w:r>
        <w:rPr>
          <w:rFonts w:ascii="Times New Roman" w:hAnsi="Times New Roman" w:eastAsia="方正仿宋_GBK" w:cs="Times New Roman"/>
          <w:color w:val="000000" w:themeColor="text1"/>
          <w:kern w:val="0"/>
          <w:sz w:val="32"/>
          <w:szCs w:val="32"/>
          <w14:textFill>
            <w14:solidFill>
              <w14:schemeClr w14:val="tx1"/>
            </w14:solidFill>
          </w14:textFill>
        </w:rPr>
        <w:t>构建权责一致的司法权运行机制，推进执法司法制约监督体系改革和建设，提高司法裁判公正性、稳定性、权威性。严格落实涉企行政检查规范管理，编制涉企执法检查计划。深化“合并联合式”执法检查，严格控制专项检查频次，避免“走过场”“运动式”检查。持续发挥涉企行政执法观察哨作用，有效收集企业对执法检查的意见建议。探索推进社区矫正机构直接管理社区矫正对象，提升社区矫正工作水平。开展“执行难”综合治理、源头治理，健全民事诉讼制度体系，常态化实施司法惠民项目。</w:t>
      </w:r>
    </w:p>
    <w:p w14:paraId="7016DF7F">
      <w:pPr>
        <w:spacing w:line="560" w:lineRule="exact"/>
        <w:ind w:firstLine="640" w:firstLineChars="200"/>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加快法治社会建设。</w:t>
      </w:r>
      <w:r>
        <w:rPr>
          <w:rFonts w:ascii="Times New Roman" w:hAnsi="Times New Roman" w:eastAsia="方正仿宋_GBK" w:cs="Times New Roman"/>
          <w:color w:val="000000" w:themeColor="text1"/>
          <w:kern w:val="0"/>
          <w:sz w:val="32"/>
          <w:szCs w:val="32"/>
          <w14:textFill>
            <w14:solidFill>
              <w14:schemeClr w14:val="tx1"/>
            </w14:solidFill>
          </w14:textFill>
        </w:rPr>
        <w:t>实施“九五”普法规划，落实普法责任制，创新宣传方式和载体，增强全民法治意识。加强律师、公证、司法鉴定、基层法律服务等法律服务队伍建设</w:t>
      </w:r>
      <w:r>
        <w:rPr>
          <w:rStyle w:val="43"/>
          <w:rFonts w:ascii="Times New Roman" w:hAnsi="Times New Roman" w:cs="Times New Roman"/>
          <w:color w:val="000000" w:themeColor="text1"/>
          <w14:textFill>
            <w14:solidFill>
              <w14:schemeClr w14:val="tx1"/>
            </w14:solidFill>
          </w14:textFill>
        </w:rPr>
        <w:t>，</w:t>
      </w:r>
      <w:r>
        <w:rPr>
          <w:rFonts w:ascii="Times New Roman" w:hAnsi="Times New Roman" w:eastAsia="方正仿宋_GBK" w:cs="Times New Roman"/>
          <w:color w:val="000000" w:themeColor="text1"/>
          <w:kern w:val="0"/>
          <w:sz w:val="32"/>
          <w:szCs w:val="32"/>
          <w14:textFill>
            <w14:solidFill>
              <w14:schemeClr w14:val="tx1"/>
            </w14:solidFill>
          </w14:textFill>
        </w:rPr>
        <w:t>拓展公共法律服务领域，提供全方位、多层次的法律服务。推进法律援助便民服务，设立法律援助工作基层联络点，为群众就近提供法律援助。注重涉外法治人才培养，加强涉外法治服务供给。探索综合性法治评价工作机制。</w:t>
      </w:r>
    </w:p>
    <w:p w14:paraId="388902DF">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203" w:name="_Toc218695913"/>
      <w:r>
        <w:rPr>
          <w:rFonts w:ascii="Times New Roman" w:hAnsi="Times New Roman" w:eastAsia="方正楷体_GBK" w:cs="Times New Roman"/>
          <w:color w:val="000000" w:themeColor="text1"/>
          <w:kern w:val="0"/>
          <w:sz w:val="32"/>
          <w:szCs w:val="32"/>
          <w14:textFill>
            <w14:solidFill>
              <w14:schemeClr w14:val="tx1"/>
            </w14:solidFill>
          </w14:textFill>
        </w:rPr>
        <w:t>第二节  夯实基层治理根基</w:t>
      </w:r>
      <w:bookmarkEnd w:id="203"/>
    </w:p>
    <w:p w14:paraId="7B40090A">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健全基层治理系统。</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坚持系统治理、依法治理、综合治理、源头治理，完善共建共治共享的社会治理制度，推进社会治理现代化。推动政府部门、社会组织、行业协会、公众个人等多元主体协同治理，深入推进县镇两级综治中心规范化建设，支持群防群治组织建设，形成“一站式受理、一体化处置、全流程闭环”的基层治理模式。</w:t>
      </w:r>
      <w:r>
        <w:rPr>
          <w:rFonts w:ascii="Times New Roman" w:hAnsi="Times New Roman" w:eastAsia="方正仿宋_GBK" w:cs="Times New Roman"/>
          <w:color w:val="000000" w:themeColor="text1"/>
          <w:sz w:val="32"/>
          <w:szCs w:val="32"/>
          <w14:textFill>
            <w14:solidFill>
              <w14:schemeClr w14:val="tx1"/>
            </w14:solidFill>
          </w14:textFill>
        </w:rPr>
        <w:t>加强基层服务管理力量配置，完善服务设施和经费保障机制。健全社会工作体制机制，加强新经济组织、新社会组织、新就业群体党的建设、服务管理。增强市民热线等公共服务平台功能</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，促进基层治理数字化应用</w:t>
      </w:r>
      <w:r>
        <w:rPr>
          <w:rFonts w:ascii="Times New Roman" w:hAnsi="Times New Roman" w:eastAsia="方正仿宋_GBK" w:cs="Times New Roman"/>
          <w:color w:val="000000" w:themeColor="text1"/>
          <w:sz w:val="32"/>
          <w:szCs w:val="32"/>
          <w14:textFill>
            <w14:solidFill>
              <w14:schemeClr w14:val="tx1"/>
            </w14:solidFill>
          </w14:textFill>
        </w:rPr>
        <w:t>，推动“民有所呼、我有所应”。健全“三治融合”基层治理机制，发挥市民公约、村规民约作用，加强家庭家教家风建设，推进移风易俗。</w:t>
      </w:r>
    </w:p>
    <w:p w14:paraId="62A7B147">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推进治理方式创新。</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坚持和发展新时代“枫桥经验”，实施“精网微格”提升工程，拓展“网格化+铁脚板”实践应用，</w:t>
      </w:r>
      <w:r>
        <w:rPr>
          <w:rFonts w:ascii="Times New Roman" w:hAnsi="Times New Roman" w:eastAsia="方正仿宋_GBK" w:cs="Times New Roman"/>
          <w:color w:val="000000" w:themeColor="text1"/>
          <w:sz w:val="32"/>
          <w:szCs w:val="32"/>
          <w14:textFill>
            <w14:solidFill>
              <w14:schemeClr w14:val="tx1"/>
            </w14:solidFill>
          </w14:textFill>
        </w:rPr>
        <w:t>推进网上网下协同治理</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指导行业党委、协会党组织提升整体功能，在协调利益、化解矛盾、规范服务等重点事项上发挥作用。强化镇街履职事项清单运用，推动“村居报告、镇街吹哨、部门报到”工作机制深度建设。强化群众基层自治，加强乡村治理，推进城乡社区服务体系和能力建设，引导各方有序参与社会治理。</w:t>
      </w:r>
      <w:r>
        <w:rPr>
          <w:rFonts w:ascii="Times New Roman" w:hAnsi="Times New Roman" w:eastAsia="方正仿宋_GBK" w:cs="Times New Roman"/>
          <w:color w:val="000000" w:themeColor="text1"/>
          <w:sz w:val="32"/>
          <w:szCs w:val="32"/>
          <w14:textFill>
            <w14:solidFill>
              <w14:schemeClr w14:val="tx1"/>
            </w14:solidFill>
          </w14:textFill>
        </w:rPr>
        <w:t>全面推进信访工作法治化，精准推进依法分类处理</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。加强社会工作者队伍建设，强化“专业社工+志愿服务”联动机制，统筹部署全县志愿服务工作，拓展志愿服务领域。</w:t>
      </w:r>
    </w:p>
    <w:p w14:paraId="5648D951">
      <w:pPr>
        <w:spacing w:line="560" w:lineRule="exact"/>
        <w:ind w:left="4"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优化矛盾调处机制。</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推动以职工代表大会为基本形式，以工会为平台载体的企事业民主管理，深入实施工会劳动法律监督“一函两书”机制，畅通职工诉求渠道。健全劳动人事争议仲裁案件多元处理机制，提升执法维权效能。围绕工程建设等重点领域，严格落实农民工工资支付制度，加强侵犯劳动者合法权益问题治理。健全妇女儿童权益保障联动机制，建立“妇联+公安+法院+司法+民政”一站式维权服务平台，推动反家暴、未成年人保护、婚姻家庭纠纷调解等工作联动。强化矛盾隐患排查，用好矛调中心“一站式”化解平台和多元化解机制，进一步压紧压实属地属事责任。</w:t>
      </w:r>
    </w:p>
    <w:p w14:paraId="43C5E12D">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204" w:name="_Toc218695914"/>
      <w:r>
        <w:rPr>
          <w:rFonts w:ascii="Times New Roman" w:hAnsi="Times New Roman" w:eastAsia="方正楷体_GBK" w:cs="Times New Roman"/>
          <w:color w:val="000000" w:themeColor="text1"/>
          <w:kern w:val="0"/>
          <w:sz w:val="32"/>
          <w:szCs w:val="32"/>
          <w14:textFill>
            <w14:solidFill>
              <w14:schemeClr w14:val="tx1"/>
            </w14:solidFill>
          </w14:textFill>
        </w:rPr>
        <w:t>第三节  强化社会信用建设</w:t>
      </w:r>
      <w:bookmarkEnd w:id="204"/>
    </w:p>
    <w:p w14:paraId="195C52A4">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加强征信制度建设。</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强化信用主体分类监管，加快推进评价结果在行业日常监管、政策资金扶持、招标投标、表彰评优、公共服务等方面的融合应用，根据企业信用状况采取差异化管理措施，实现重点领域信用监管全覆盖，落实守信联合激励和失信联合惩戒机制。推进社会信用系统建设，建立公共信用信息记录、征集、管理、评价及应用制度，推动承诺信息和履约情况依法依规纳入公共信用信息系统，健全完善信用修复机制。提升信用服务能力，发挥信用信息数据库的服务效能，开展行业信用评级和市场信用评价，积极探索“信用+”“信易+”场景项目，建成重点突出、协调联动的信用场景服务体系。</w:t>
      </w:r>
    </w:p>
    <w:p w14:paraId="05DB2883">
      <w:pPr>
        <w:spacing w:line="560" w:lineRule="exact"/>
        <w:ind w:firstLine="640" w:firstLineChars="20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楷体_GBK" w:cs="Times New Roman"/>
          <w:color w:val="000000" w:themeColor="text1"/>
          <w:sz w:val="32"/>
          <w:szCs w:val="32"/>
          <w14:textFill>
            <w14:solidFill>
              <w14:schemeClr w14:val="tx1"/>
            </w14:solidFill>
          </w14:textFill>
        </w:rPr>
        <w:t>推动履约践诺守信。</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推动在政务服务中广泛适用信用承诺制，实施承诺履约闭环管理，通过信用承诺助力缩减企业办事证明材料和办理流程。完善重点领域行业自律机制，鼓励行业协会、商会等组织经营主体开展诚信经营信用承诺，充分发挥经营主体自我约束和社会公众监督的正面引导作用。健全政府诚信履约践诺机制，完善政务信用记录和公职人员诚信档案，加强招标投标、招商选资等各类重点领域诚信建设，健全“政府承诺+社会监督+失信问责”机制。积极宣传诚实守信的先进事迹，大力普及诚信理念、规则意识和契约精神，强化正面引导，鼓励社会公众积极参与诚信建设活动，推动形成崇尚诚信、践信守诺的社会风尚。</w:t>
      </w:r>
      <w:bookmarkStart w:id="205" w:name="_Toc214978123"/>
      <w:bookmarkStart w:id="206" w:name="_Toc213057422"/>
      <w:bookmarkStart w:id="207" w:name="_Toc1388030504"/>
    </w:p>
    <w:p w14:paraId="43ADCF47">
      <w:pPr>
        <w:keepNext/>
        <w:widowControl/>
        <w:spacing w:line="560" w:lineRule="exact"/>
        <w:jc w:val="center"/>
        <w:outlineLvl w:val="0"/>
        <w:rPr>
          <w:rFonts w:ascii="Times New Roman" w:hAnsi="Times New Roman" w:eastAsia="方正小标宋_GBK" w:cs="Times New Roman"/>
          <w:color w:val="000000" w:themeColor="text1"/>
          <w:sz w:val="36"/>
          <w:szCs w:val="36"/>
          <w14:textFill>
            <w14:solidFill>
              <w14:schemeClr w14:val="tx1"/>
            </w14:solidFill>
          </w14:textFill>
        </w:rPr>
      </w:pPr>
      <w:bookmarkStart w:id="208" w:name="_Toc218695915"/>
      <w:r>
        <w:rPr>
          <w:rFonts w:ascii="Times New Roman" w:hAnsi="Times New Roman" w:eastAsia="方正小标宋_GBK" w:cs="Times New Roman"/>
          <w:color w:val="000000" w:themeColor="text1"/>
          <w:sz w:val="36"/>
          <w:szCs w:val="36"/>
          <w14:textFill>
            <w14:solidFill>
              <w14:schemeClr w14:val="tx1"/>
            </w14:solidFill>
          </w14:textFill>
        </w:rPr>
        <w:t xml:space="preserve">第十篇  </w:t>
      </w:r>
      <w:bookmarkEnd w:id="205"/>
      <w:bookmarkEnd w:id="206"/>
      <w:bookmarkEnd w:id="207"/>
      <w:r>
        <w:rPr>
          <w:rFonts w:ascii="Times New Roman" w:hAnsi="Times New Roman" w:eastAsia="方正小标宋_GBK" w:cs="Times New Roman"/>
          <w:color w:val="000000" w:themeColor="text1"/>
          <w:sz w:val="36"/>
          <w:szCs w:val="36"/>
          <w14:textFill>
            <w14:solidFill>
              <w14:schemeClr w14:val="tx1"/>
            </w14:solidFill>
          </w14:textFill>
        </w:rPr>
        <w:t>凝聚奋进力量 强化保障支撑战略性谋划落地</w:t>
      </w:r>
      <w:bookmarkEnd w:id="208"/>
    </w:p>
    <w:p w14:paraId="383850CE">
      <w:pPr>
        <w:pStyle w:val="29"/>
        <w:spacing w:after="0" w:line="560" w:lineRule="exact"/>
        <w:rPr>
          <w:rFonts w:ascii="Times New Roman" w:hAnsi="Times New Roman" w:cs="Times New Roman"/>
        </w:rPr>
      </w:pPr>
      <w:bookmarkStart w:id="209" w:name="_Toc513823367"/>
      <w:bookmarkStart w:id="210" w:name="_Toc213057423"/>
      <w:bookmarkStart w:id="211" w:name="_Toc218695916"/>
      <w:bookmarkStart w:id="212" w:name="_Toc214978124"/>
    </w:p>
    <w:p w14:paraId="7DF5BEA4">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第二十四章  加强党的全面领导</w:t>
      </w:r>
      <w:bookmarkEnd w:id="209"/>
      <w:bookmarkEnd w:id="210"/>
      <w:bookmarkEnd w:id="211"/>
      <w:bookmarkEnd w:id="212"/>
    </w:p>
    <w:p w14:paraId="579F9057">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bookmarkStart w:id="213" w:name="_Toc214978125"/>
      <w:bookmarkStart w:id="214" w:name="_Toc213057424"/>
      <w:bookmarkStart w:id="215" w:name="_Toc797584582"/>
      <w:r>
        <w:rPr>
          <w:rFonts w:ascii="Times New Roman" w:hAnsi="Times New Roman" w:eastAsia="方正仿宋_GBK" w:cs="Times New Roman"/>
          <w:color w:val="000000" w:themeColor="text1"/>
          <w:sz w:val="32"/>
          <w:szCs w:val="32"/>
          <w14:textFill>
            <w14:solidFill>
              <w14:schemeClr w14:val="tx1"/>
            </w14:solidFill>
          </w14:textFill>
        </w:rPr>
        <w:t>全面贯彻落实习近平新时代中国特色社会主义思想，深刻领悟“两个确立”的决定性意义，切实增强“四个意识”，坚定“四个自信”，做到“两个维护”。坚持县委在经济社会发展中的领导核心作用，贯彻党把方向、谋大局、定政策、促改革的要求，健全总揽全局、协调各方的党的领导制度体系，把党的领导始终贯穿“十五五”规划组织实施各领域全过程。加强党员干部教育培养，提升干部队伍素质能力和专业化水平。充分发挥各级党组织战斗堡垒和党员先锋模范“两个作用”，最大限度凝聚全县人民群众的力量和智慧，为实现“十五五”规划目标任务共同奋斗。</w:t>
      </w:r>
    </w:p>
    <w:p w14:paraId="7CD52840">
      <w:pPr>
        <w:pStyle w:val="29"/>
        <w:spacing w:after="0" w:line="560" w:lineRule="exact"/>
        <w:rPr>
          <w:rFonts w:ascii="Times New Roman" w:hAnsi="Times New Roman" w:cs="Times New Roman"/>
        </w:rPr>
      </w:pPr>
      <w:bookmarkStart w:id="216" w:name="_Toc218695917"/>
    </w:p>
    <w:p w14:paraId="1F712FB3">
      <w:pPr>
        <w:keepNext/>
        <w:spacing w:line="560" w:lineRule="exact"/>
        <w:jc w:val="center"/>
        <w:outlineLvl w:val="1"/>
        <w:rPr>
          <w:rFonts w:ascii="Times New Roman" w:hAnsi="Times New Roman" w:eastAsia="方正黑体_GBK" w:cs="Times New Roman"/>
          <w:color w:val="000000" w:themeColor="text1"/>
          <w:kern w:val="0"/>
          <w:sz w:val="32"/>
          <w:szCs w:val="32"/>
          <w14:textFill>
            <w14:solidFill>
              <w14:schemeClr w14:val="tx1"/>
            </w14:solidFill>
          </w14:textFill>
        </w:rPr>
      </w:pPr>
      <w:r>
        <w:rPr>
          <w:rFonts w:ascii="Times New Roman" w:hAnsi="Times New Roman" w:eastAsia="方正黑体_GBK" w:cs="Times New Roman"/>
          <w:color w:val="000000" w:themeColor="text1"/>
          <w:kern w:val="0"/>
          <w:sz w:val="32"/>
          <w:szCs w:val="32"/>
          <w14:textFill>
            <w14:solidFill>
              <w14:schemeClr w14:val="tx1"/>
            </w14:solidFill>
          </w14:textFill>
        </w:rPr>
        <w:t xml:space="preserve">第二十五章 </w:t>
      </w:r>
      <w:bookmarkEnd w:id="213"/>
      <w:bookmarkEnd w:id="214"/>
      <w:bookmarkEnd w:id="215"/>
      <w:r>
        <w:rPr>
          <w:rFonts w:ascii="Times New Roman" w:hAnsi="Times New Roman" w:eastAsia="方正黑体_GBK" w:cs="Times New Roman"/>
          <w:color w:val="000000" w:themeColor="text1"/>
          <w:kern w:val="0"/>
          <w:sz w:val="32"/>
          <w:szCs w:val="32"/>
          <w14:textFill>
            <w14:solidFill>
              <w14:schemeClr w14:val="tx1"/>
            </w14:solidFill>
          </w14:textFill>
        </w:rPr>
        <w:t xml:space="preserve"> 推进规划落地生效</w:t>
      </w:r>
      <w:bookmarkEnd w:id="216"/>
    </w:p>
    <w:p w14:paraId="543FB48D">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推进规划组织实施，突出规划引领性功能作用，加强人员组织保障，落实资源要素统筹调配，开展动态监测评估，注重系统衔接相互配合，凝聚真抓实干的奋进力量。</w:t>
      </w:r>
    </w:p>
    <w:bookmarkEnd w:id="2"/>
    <w:p w14:paraId="2AFE6CDA">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217" w:name="_Toc218695918"/>
      <w:r>
        <w:rPr>
          <w:rFonts w:ascii="Times New Roman" w:hAnsi="Times New Roman" w:eastAsia="方正楷体_GBK" w:cs="Times New Roman"/>
          <w:color w:val="000000" w:themeColor="text1"/>
          <w:kern w:val="0"/>
          <w:sz w:val="32"/>
          <w:szCs w:val="32"/>
          <w14:textFill>
            <w14:solidFill>
              <w14:schemeClr w14:val="tx1"/>
            </w14:solidFill>
          </w14:textFill>
        </w:rPr>
        <w:t>第一节  健全规划实施机制</w:t>
      </w:r>
      <w:bookmarkEnd w:id="217"/>
      <w:r>
        <w:rPr>
          <w:rFonts w:ascii="Times New Roman" w:hAnsi="Times New Roman" w:eastAsia="方正楷体_GBK" w:cs="Times New Roman"/>
          <w:color w:val="000000" w:themeColor="text1"/>
          <w:kern w:val="0"/>
          <w:sz w:val="32"/>
          <w:szCs w:val="32"/>
          <w14:textFill>
            <w14:solidFill>
              <w14:schemeClr w14:val="tx1"/>
            </w14:solidFill>
          </w14:textFill>
        </w:rPr>
        <w:t xml:space="preserve"> </w:t>
      </w:r>
    </w:p>
    <w:p w14:paraId="7DA2A2AF">
      <w:pPr>
        <w:pStyle w:val="29"/>
        <w:spacing w:after="0" w:line="560" w:lineRule="exact"/>
        <w:ind w:left="0" w:leftChars="0" w:firstLine="64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充分发挥国民经济和社会发展规划的导向和引领作用。推进空间布局规划等规划与国民经济和社会发展规划衔接，强化专项规划、区域规划与总体规划协调，确保总体要求一致、空间布局配置和时序进度安排有序，形成规划合力。加大统筹协调力度，强化重大战略任务、重大改革举措、重大工程项目、重大平台载体责任制，确保落到实处。切实加强规划执行与监督、监测与评估、协调与修订，发挥审计机关对推进规划实施的监督作用，确保严格执行落实好规划。</w:t>
      </w:r>
    </w:p>
    <w:p w14:paraId="63481C51">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218" w:name="_Toc218695919"/>
      <w:r>
        <w:rPr>
          <w:rFonts w:ascii="Times New Roman" w:hAnsi="Times New Roman" w:eastAsia="方正楷体_GBK" w:cs="Times New Roman"/>
          <w:color w:val="000000" w:themeColor="text1"/>
          <w:kern w:val="0"/>
          <w:sz w:val="32"/>
          <w:szCs w:val="32"/>
          <w14:textFill>
            <w14:solidFill>
              <w14:schemeClr w14:val="tx1"/>
            </w14:solidFill>
          </w14:textFill>
        </w:rPr>
        <w:t>第二节  强化政策和要素协同保障</w:t>
      </w:r>
      <w:bookmarkEnd w:id="218"/>
    </w:p>
    <w:p w14:paraId="60733C4C">
      <w:pPr>
        <w:spacing w:line="56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加强政策协同，完善政策储备，研究制定规划实施的土地、人口、产业、金融等相关配套政策，优化就业、投资、消费、区域等政策制定，提升政策科学性、稳定性和一致性。加强规划协调落实，完善要素供给措施，提高要素配置效率，强化土地、人才、环保、用能、数据等要素保障与县级发展规划匹配机制，完善长期投入机制，优先支持县级发展规划确定的重大战略、重大举措和重大工程建设等。</w:t>
      </w:r>
    </w:p>
    <w:p w14:paraId="3FDD0687">
      <w:pPr>
        <w:keepNext/>
        <w:widowControl/>
        <w:spacing w:before="156" w:beforeLines="50" w:after="156" w:afterLines="50" w:line="560" w:lineRule="exact"/>
        <w:jc w:val="center"/>
        <w:outlineLvl w:val="2"/>
        <w:rPr>
          <w:rFonts w:ascii="Times New Roman" w:hAnsi="Times New Roman" w:eastAsia="方正楷体_GBK" w:cs="Times New Roman"/>
          <w:color w:val="000000" w:themeColor="text1"/>
          <w:kern w:val="0"/>
          <w:sz w:val="32"/>
          <w:szCs w:val="32"/>
          <w14:textFill>
            <w14:solidFill>
              <w14:schemeClr w14:val="tx1"/>
            </w14:solidFill>
          </w14:textFill>
        </w:rPr>
      </w:pPr>
      <w:bookmarkStart w:id="219" w:name="_Toc218695920"/>
      <w:r>
        <w:rPr>
          <w:rFonts w:ascii="Times New Roman" w:hAnsi="Times New Roman" w:eastAsia="方正楷体_GBK" w:cs="Times New Roman"/>
          <w:color w:val="000000" w:themeColor="text1"/>
          <w:kern w:val="0"/>
          <w:sz w:val="32"/>
          <w:szCs w:val="32"/>
          <w14:textFill>
            <w14:solidFill>
              <w14:schemeClr w14:val="tx1"/>
            </w14:solidFill>
          </w14:textFill>
        </w:rPr>
        <w:t>第三节  凝聚社会力量广泛参与</w:t>
      </w:r>
      <w:bookmarkEnd w:id="219"/>
    </w:p>
    <w:p w14:paraId="1D50377F">
      <w:pPr>
        <w:spacing w:line="560"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贯彻尊重劳动、尊重知识、尊重人才、尊重创造的方针，充分激发人民群众主人翁精神。推进规划实施的信息公开，保障市场主体、社会力量、智库、公民等参与规划编制、论证、实施和评估过程。广泛开展建言咨政献策，畅通沟通平台渠道，健全政府与企业、社会的信息沟通和交流机制，充分调动社会各方面的积极性，凝聚广泛力量，促进规划有效实施。加强规划宣传，创新宣传形式和途径，利用传统媒体矩阵和新兴媒体平台，多维度、多层次开展规划宣传，形成从公众参与到成效反馈良性闭环，共同推动“十五五”规划目标任务如期实现。</w:t>
      </w:r>
    </w:p>
    <w:sectPr>
      <w:footerReference r:id="rId18" w:type="default"/>
      <w:footerReference r:id="rId19" w:type="even"/>
      <w:pgSz w:w="11906" w:h="16838"/>
      <w:pgMar w:top="1928" w:right="1474" w:bottom="1928" w:left="1474" w:header="964" w:footer="102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64967B-F4B8-4C24-BE47-C1D8542AA5C5}"/>
  </w:font>
  <w:font w:name="Arial">
    <w:panose1 w:val="020B0604020202020204"/>
    <w:charset w:val="01"/>
    <w:family w:val="swiss"/>
    <w:pitch w:val="default"/>
    <w:sig w:usb0="E0002EFF" w:usb1="C000785B" w:usb2="00000009" w:usb3="00000000" w:csb0="400001FF" w:csb1="FFFF0000"/>
    <w:embedRegular r:id="rId2" w:fontKey="{4F0DD137-CC33-470D-8598-3F5C6BBAFEEE}"/>
  </w:font>
  <w:font w:name="黑体">
    <w:panose1 w:val="02010609060101010101"/>
    <w:charset w:val="86"/>
    <w:family w:val="auto"/>
    <w:pitch w:val="default"/>
    <w:sig w:usb0="800002BF" w:usb1="38CF7CFA" w:usb2="00000016" w:usb3="00000000" w:csb0="00040001" w:csb1="00000000"/>
    <w:embedRegular r:id="rId3" w:fontKey="{535E209E-D798-487F-AFD9-D2674B0393DD}"/>
  </w:font>
  <w:font w:name="Courier New">
    <w:panose1 w:val="02070309020205020404"/>
    <w:charset w:val="01"/>
    <w:family w:val="modern"/>
    <w:pitch w:val="default"/>
    <w:sig w:usb0="E0002EFF" w:usb1="C0007843" w:usb2="00000009" w:usb3="00000000" w:csb0="400001FF" w:csb1="FFFF0000"/>
    <w:embedRegular r:id="rId4" w:fontKey="{F29AE605-5AE2-46E2-BF1F-394265DA5603}"/>
  </w:font>
  <w:font w:name="Symbol">
    <w:panose1 w:val="05050102010706020507"/>
    <w:charset w:val="02"/>
    <w:family w:val="roman"/>
    <w:pitch w:val="default"/>
    <w:sig w:usb0="00000000" w:usb1="00000000" w:usb2="00000000" w:usb3="00000000" w:csb0="80000000" w:csb1="00000000"/>
    <w:embedRegular r:id="rId5" w:fontKey="{CE3C4692-6133-4F8D-89A7-9CF0EA682A69}"/>
  </w:font>
  <w:font w:name="Calibri">
    <w:panose1 w:val="020F0502020204030204"/>
    <w:charset w:val="00"/>
    <w:family w:val="swiss"/>
    <w:pitch w:val="default"/>
    <w:sig w:usb0="E4002EFF" w:usb1="C000247B" w:usb2="00000009" w:usb3="00000000" w:csb0="200001FF" w:csb1="00000000"/>
    <w:embedRegular r:id="rId6" w:fontKey="{E12CADB7-9D66-4512-8A63-4FBDBCAF0ABB}"/>
  </w:font>
  <w:font w:name="等线">
    <w:panose1 w:val="02010600030101010101"/>
    <w:charset w:val="86"/>
    <w:family w:val="auto"/>
    <w:pitch w:val="default"/>
    <w:sig w:usb0="A00002BF" w:usb1="38CF7CFA" w:usb2="00000016" w:usb3="00000000" w:csb0="0004000F" w:csb1="00000000"/>
    <w:embedRegular r:id="rId7" w:fontKey="{DF0BF9CB-96E1-4692-B956-5D9DABC55955}"/>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8" w:fontKey="{86464464-F48F-4E66-BEEA-A9F513EC171C}"/>
  </w:font>
  <w:font w:name="方正小标宋_GBK">
    <w:panose1 w:val="03000509000000000000"/>
    <w:charset w:val="86"/>
    <w:family w:val="auto"/>
    <w:pitch w:val="default"/>
    <w:sig w:usb0="00000001" w:usb1="080E0000" w:usb2="00000000" w:usb3="00000000" w:csb0="00040000" w:csb1="00000000"/>
    <w:embedRegular r:id="rId9" w:fontKey="{1A0FA3BB-D811-49ED-934F-B69E0B76C4DC}"/>
  </w:font>
  <w:font w:name="方正楷体_GBK">
    <w:panose1 w:val="03000509000000000000"/>
    <w:charset w:val="86"/>
    <w:family w:val="script"/>
    <w:pitch w:val="default"/>
    <w:sig w:usb0="00000001" w:usb1="080E0000" w:usb2="00000000" w:usb3="00000000" w:csb0="00040000" w:csb1="00000000"/>
    <w:embedRegular r:id="rId10" w:fontKey="{F48E1F0F-C7D7-4976-B3EB-0B626C2C5754}"/>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11" w:fontKey="{294F79EC-45CF-4445-8665-088BC0D29D48}"/>
  </w:font>
  <w:font w:name="方正黑体_GBK">
    <w:panose1 w:val="03000509000000000000"/>
    <w:charset w:val="86"/>
    <w:family w:val="auto"/>
    <w:pitch w:val="default"/>
    <w:sig w:usb0="00000001" w:usb1="080E0000" w:usb2="00000000" w:usb3="00000000" w:csb0="00040000" w:csb1="00000000"/>
    <w:embedRegular r:id="rId12" w:fontKey="{679F2CB2-654E-4219-87A9-05861F8360FC}"/>
  </w:font>
  <w:font w:name="微软雅黑">
    <w:panose1 w:val="020B0503020204020204"/>
    <w:charset w:val="86"/>
    <w:family w:val="swiss"/>
    <w:pitch w:val="default"/>
    <w:sig w:usb0="80000287" w:usb1="2ACF3C50" w:usb2="00000016" w:usb3="00000000" w:csb0="0004001F" w:csb1="00000000"/>
    <w:embedRegular r:id="rId13" w:fontKey="{22857741-9367-4766-A2F5-28F9CC83B861}"/>
  </w:font>
  <w:font w:name="仿宋">
    <w:panose1 w:val="02010609060101010101"/>
    <w:charset w:val="86"/>
    <w:family w:val="modern"/>
    <w:pitch w:val="default"/>
    <w:sig w:usb0="800002BF" w:usb1="38CF7CFA" w:usb2="00000016" w:usb3="00000000" w:csb0="00040001" w:csb1="00000000"/>
    <w:embedRegular r:id="rId14" w:fontKey="{A084A3A2-6CD2-4CF7-A8C2-0F0CDA3D77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2F7E5">
    <w:pPr>
      <w:pStyle w:val="19"/>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sz w:val="28"/>
        <w:szCs w:val="28"/>
      </w:rPr>
      <w:id w:val="-990173610"/>
    </w:sdtPr>
    <w:sdtEndPr>
      <w:rPr>
        <w:rFonts w:ascii="Times New Roman" w:hAnsi="Times New Roman"/>
        <w:sz w:val="28"/>
        <w:szCs w:val="28"/>
      </w:rPr>
    </w:sdtEndPr>
    <w:sdtContent>
      <w:p w14:paraId="740D27EA">
        <w:pPr>
          <w:pStyle w:val="19"/>
          <w:ind w:firstLine="560"/>
          <w:jc w:val="right"/>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45</w:t>
        </w:r>
        <w:r>
          <w:rPr>
            <w:rFonts w:ascii="Times New Roman" w:hAnsi="Times New Roman"/>
            <w:sz w:val="28"/>
            <w:szCs w:val="28"/>
          </w:rPr>
          <w:fldChar w:fldCharType="end"/>
        </w:r>
        <w:r>
          <w:rPr>
            <w:rFonts w:ascii="Times New Roman" w:hAnsi="Times New Roman"/>
            <w:sz w:val="28"/>
            <w:szCs w:val="28"/>
          </w:rPr>
          <w:t xml:space="preserve"> —</w:t>
        </w:r>
      </w:p>
    </w:sdtContent>
  </w:sdt>
  <w:p w14:paraId="37C133AB">
    <w:pPr>
      <w:pStyle w:val="1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sz w:val="28"/>
        <w:szCs w:val="28"/>
      </w:rPr>
      <w:id w:val="1757015067"/>
    </w:sdtPr>
    <w:sdtEndPr>
      <w:rPr>
        <w:rFonts w:ascii="Times New Roman" w:hAnsi="Times New Roman"/>
        <w:sz w:val="28"/>
        <w:szCs w:val="28"/>
      </w:rPr>
    </w:sdtEndPr>
    <w:sdtContent>
      <w:p w14:paraId="60A4C24E">
        <w:pPr>
          <w:pStyle w:val="19"/>
          <w:ind w:firstLine="56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36</w:t>
        </w:r>
        <w:r>
          <w:rPr>
            <w:rFonts w:ascii="Times New Roman" w:hAnsi="Times New Roman"/>
            <w:sz w:val="28"/>
            <w:szCs w:val="28"/>
          </w:rPr>
          <w:fldChar w:fldCharType="end"/>
        </w:r>
        <w:r>
          <w:rPr>
            <w:rFonts w:ascii="Times New Roman" w:hAnsi="Times New Roman"/>
            <w:sz w:val="28"/>
            <w:szCs w:val="28"/>
          </w:rPr>
          <w:t xml:space="preserve"> —</w:t>
        </w:r>
      </w:p>
    </w:sdtContent>
  </w:sdt>
  <w:p w14:paraId="2BBF1423">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5DB0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1433E">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F706F">
    <w:pPr>
      <w:pStyle w:val="1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4A438">
    <w:pPr>
      <w:pStyle w:val="1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73A0">
    <w:pPr>
      <w:pStyle w:val="1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1660674"/>
    </w:sdtPr>
    <w:sdtEndPr>
      <w:rPr>
        <w:rFonts w:ascii="Times New Roman" w:hAnsi="Times New Roman" w:cs="Times New Roman"/>
        <w:sz w:val="24"/>
        <w:szCs w:val="24"/>
      </w:rPr>
    </w:sdtEndPr>
    <w:sdtContent>
      <w:p w14:paraId="06EA6797">
        <w:pPr>
          <w:pStyle w:val="19"/>
          <w:ind w:firstLine="36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I</w:t>
        </w:r>
        <w:r>
          <w:rPr>
            <w:rFonts w:ascii="Times New Roman" w:hAnsi="Times New Roman" w:cs="Times New Roman"/>
            <w:sz w:val="24"/>
            <w:szCs w:val="24"/>
          </w:rPr>
          <w:fldChar w:fldCharType="end"/>
        </w:r>
      </w:p>
    </w:sdtContent>
  </w:sdt>
  <w:p w14:paraId="6994BFC7">
    <w:pPr>
      <w:pStyle w:val="1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5536605"/>
    </w:sdtPr>
    <w:sdtEndPr>
      <w:rPr>
        <w:rFonts w:ascii="Times New Roman" w:hAnsi="Times New Roman" w:cs="Times New Roman"/>
        <w:sz w:val="24"/>
        <w:szCs w:val="24"/>
      </w:rPr>
    </w:sdtEndPr>
    <w:sdtContent>
      <w:p w14:paraId="5B4E25C7">
        <w:pPr>
          <w:pStyle w:val="19"/>
          <w:ind w:firstLine="36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II</w:t>
        </w:r>
        <w:r>
          <w:rPr>
            <w:rFonts w:ascii="Times New Roman" w:hAnsi="Times New Roman" w:cs="Times New Roman"/>
            <w:sz w:val="24"/>
            <w:szCs w:val="24"/>
          </w:rPr>
          <w:fldChar w:fldCharType="end"/>
        </w:r>
      </w:p>
    </w:sdtContent>
  </w:sdt>
  <w:p w14:paraId="600C1F61">
    <w:pPr>
      <w:pStyle w:val="1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202F6">
    <w:pPr>
      <w:pStyle w:val="1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718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14DDA">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C1C0">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AE52A">
    <w:pPr>
      <w:pStyle w:val="2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0DEE6">
    <w:pPr>
      <w:pStyle w:val="2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8636D">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43322D"/>
    <w:multiLevelType w:val="singleLevel"/>
    <w:tmpl w:val="9A43322D"/>
    <w:lvl w:ilvl="0" w:tentative="0">
      <w:start w:val="1"/>
      <w:numFmt w:val="japaneseCounting"/>
      <w:pStyle w:val="36"/>
      <w:lvlText w:val="（%1）"/>
      <w:lvlJc w:val="left"/>
      <w:pPr>
        <w:ind w:left="1080" w:hanging="440"/>
      </w:pPr>
      <w:rPr>
        <w:rFonts w:hint="default"/>
      </w:rPr>
    </w:lvl>
  </w:abstractNum>
  <w:abstractNum w:abstractNumId="1">
    <w:nsid w:val="ED1E6838"/>
    <w:multiLevelType w:val="singleLevel"/>
    <w:tmpl w:val="ED1E6838"/>
    <w:lvl w:ilvl="0" w:tentative="0">
      <w:start w:val="1"/>
      <w:numFmt w:val="chineseCounting"/>
      <w:pStyle w:val="38"/>
      <w:suff w:val="nothing"/>
      <w:lvlText w:val="%1、"/>
      <w:lvlJc w:val="left"/>
      <w:rPr>
        <w:rFonts w:hint="eastAsia"/>
        <w:lang w:val="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RiN2QyYjE4NzA4ZmU2OTk3ZDMwYTc2NDRkY2NmZTkifQ=="/>
  </w:docVars>
  <w:rsids>
    <w:rsidRoot w:val="00E117AD"/>
    <w:rsid w:val="00001D96"/>
    <w:rsid w:val="00003B77"/>
    <w:rsid w:val="00003CE8"/>
    <w:rsid w:val="00003EED"/>
    <w:rsid w:val="000044D1"/>
    <w:rsid w:val="000051DB"/>
    <w:rsid w:val="00005536"/>
    <w:rsid w:val="00005E4A"/>
    <w:rsid w:val="0001102A"/>
    <w:rsid w:val="00013B46"/>
    <w:rsid w:val="0001540D"/>
    <w:rsid w:val="00017A87"/>
    <w:rsid w:val="00020B87"/>
    <w:rsid w:val="000213BB"/>
    <w:rsid w:val="00022793"/>
    <w:rsid w:val="00022D49"/>
    <w:rsid w:val="00024AA0"/>
    <w:rsid w:val="000254E5"/>
    <w:rsid w:val="00025E59"/>
    <w:rsid w:val="00026108"/>
    <w:rsid w:val="00031D8C"/>
    <w:rsid w:val="000327C7"/>
    <w:rsid w:val="00032B3B"/>
    <w:rsid w:val="000345F2"/>
    <w:rsid w:val="0003616D"/>
    <w:rsid w:val="00036314"/>
    <w:rsid w:val="0003684D"/>
    <w:rsid w:val="00037D48"/>
    <w:rsid w:val="000409B6"/>
    <w:rsid w:val="000429E2"/>
    <w:rsid w:val="00043144"/>
    <w:rsid w:val="0004623B"/>
    <w:rsid w:val="00050BD6"/>
    <w:rsid w:val="00050EC1"/>
    <w:rsid w:val="0005106B"/>
    <w:rsid w:val="0005538C"/>
    <w:rsid w:val="00057626"/>
    <w:rsid w:val="000603D4"/>
    <w:rsid w:val="00060989"/>
    <w:rsid w:val="000609CA"/>
    <w:rsid w:val="0006243A"/>
    <w:rsid w:val="00063B1C"/>
    <w:rsid w:val="000723D1"/>
    <w:rsid w:val="000726A0"/>
    <w:rsid w:val="00073627"/>
    <w:rsid w:val="00076F81"/>
    <w:rsid w:val="00081032"/>
    <w:rsid w:val="00082A7D"/>
    <w:rsid w:val="00083A1B"/>
    <w:rsid w:val="00084A29"/>
    <w:rsid w:val="00085A13"/>
    <w:rsid w:val="00086212"/>
    <w:rsid w:val="00090C0E"/>
    <w:rsid w:val="00091213"/>
    <w:rsid w:val="00092D40"/>
    <w:rsid w:val="000941D4"/>
    <w:rsid w:val="000941E7"/>
    <w:rsid w:val="0009421E"/>
    <w:rsid w:val="0009456B"/>
    <w:rsid w:val="000954D2"/>
    <w:rsid w:val="000A09EE"/>
    <w:rsid w:val="000A29AD"/>
    <w:rsid w:val="000A2AF9"/>
    <w:rsid w:val="000A2DC2"/>
    <w:rsid w:val="000A3158"/>
    <w:rsid w:val="000A40D0"/>
    <w:rsid w:val="000A475E"/>
    <w:rsid w:val="000A6E09"/>
    <w:rsid w:val="000A6E14"/>
    <w:rsid w:val="000B2191"/>
    <w:rsid w:val="000B28C4"/>
    <w:rsid w:val="000B4103"/>
    <w:rsid w:val="000B474D"/>
    <w:rsid w:val="000B6CA2"/>
    <w:rsid w:val="000C04EA"/>
    <w:rsid w:val="000C182F"/>
    <w:rsid w:val="000C27B5"/>
    <w:rsid w:val="000C45C9"/>
    <w:rsid w:val="000C6CBE"/>
    <w:rsid w:val="000D038F"/>
    <w:rsid w:val="000D07D0"/>
    <w:rsid w:val="000D14FD"/>
    <w:rsid w:val="000D20EE"/>
    <w:rsid w:val="000D28AE"/>
    <w:rsid w:val="000D2A53"/>
    <w:rsid w:val="000D308C"/>
    <w:rsid w:val="000D4A1D"/>
    <w:rsid w:val="000D628A"/>
    <w:rsid w:val="000D6C65"/>
    <w:rsid w:val="000E1291"/>
    <w:rsid w:val="000E3781"/>
    <w:rsid w:val="000E5405"/>
    <w:rsid w:val="000E7F1C"/>
    <w:rsid w:val="000F78BF"/>
    <w:rsid w:val="001003F0"/>
    <w:rsid w:val="00100CCD"/>
    <w:rsid w:val="001011B1"/>
    <w:rsid w:val="00103D71"/>
    <w:rsid w:val="00105874"/>
    <w:rsid w:val="00105F88"/>
    <w:rsid w:val="00106879"/>
    <w:rsid w:val="001104E4"/>
    <w:rsid w:val="00110DE0"/>
    <w:rsid w:val="0011134F"/>
    <w:rsid w:val="00112111"/>
    <w:rsid w:val="00112205"/>
    <w:rsid w:val="001124BD"/>
    <w:rsid w:val="00112843"/>
    <w:rsid w:val="00112AD3"/>
    <w:rsid w:val="00112C35"/>
    <w:rsid w:val="00112C3E"/>
    <w:rsid w:val="00113C98"/>
    <w:rsid w:val="001205F6"/>
    <w:rsid w:val="001212D0"/>
    <w:rsid w:val="00121342"/>
    <w:rsid w:val="00123967"/>
    <w:rsid w:val="00123A2F"/>
    <w:rsid w:val="00124BD7"/>
    <w:rsid w:val="00125109"/>
    <w:rsid w:val="00127720"/>
    <w:rsid w:val="00131861"/>
    <w:rsid w:val="0013312E"/>
    <w:rsid w:val="00135319"/>
    <w:rsid w:val="0013669C"/>
    <w:rsid w:val="00141475"/>
    <w:rsid w:val="00146CBC"/>
    <w:rsid w:val="001515BB"/>
    <w:rsid w:val="00152B44"/>
    <w:rsid w:val="00153FC2"/>
    <w:rsid w:val="001549E1"/>
    <w:rsid w:val="0015570C"/>
    <w:rsid w:val="001570EB"/>
    <w:rsid w:val="001571FA"/>
    <w:rsid w:val="00160C58"/>
    <w:rsid w:val="00160DC4"/>
    <w:rsid w:val="001616FD"/>
    <w:rsid w:val="00162123"/>
    <w:rsid w:val="00162A27"/>
    <w:rsid w:val="00162B8D"/>
    <w:rsid w:val="00162CE7"/>
    <w:rsid w:val="00163C8C"/>
    <w:rsid w:val="001643BF"/>
    <w:rsid w:val="00164DF6"/>
    <w:rsid w:val="00170169"/>
    <w:rsid w:val="0017203D"/>
    <w:rsid w:val="00172085"/>
    <w:rsid w:val="00174B2A"/>
    <w:rsid w:val="001753A5"/>
    <w:rsid w:val="001760AF"/>
    <w:rsid w:val="00176110"/>
    <w:rsid w:val="00177899"/>
    <w:rsid w:val="00177C9E"/>
    <w:rsid w:val="00180E55"/>
    <w:rsid w:val="001813A7"/>
    <w:rsid w:val="001814C9"/>
    <w:rsid w:val="00181537"/>
    <w:rsid w:val="001819CF"/>
    <w:rsid w:val="00182A9F"/>
    <w:rsid w:val="00184596"/>
    <w:rsid w:val="00190CC9"/>
    <w:rsid w:val="00190E51"/>
    <w:rsid w:val="00191EE8"/>
    <w:rsid w:val="00192F0C"/>
    <w:rsid w:val="0019386E"/>
    <w:rsid w:val="0019460B"/>
    <w:rsid w:val="0019473A"/>
    <w:rsid w:val="00196FCD"/>
    <w:rsid w:val="00197C72"/>
    <w:rsid w:val="001A1450"/>
    <w:rsid w:val="001A2418"/>
    <w:rsid w:val="001A2787"/>
    <w:rsid w:val="001A36C2"/>
    <w:rsid w:val="001A37E9"/>
    <w:rsid w:val="001A3AB0"/>
    <w:rsid w:val="001A47B0"/>
    <w:rsid w:val="001A5096"/>
    <w:rsid w:val="001A6199"/>
    <w:rsid w:val="001B23E1"/>
    <w:rsid w:val="001B502B"/>
    <w:rsid w:val="001B64B1"/>
    <w:rsid w:val="001B7F11"/>
    <w:rsid w:val="001C13F0"/>
    <w:rsid w:val="001C14D6"/>
    <w:rsid w:val="001C1574"/>
    <w:rsid w:val="001C2D53"/>
    <w:rsid w:val="001C42E2"/>
    <w:rsid w:val="001C434A"/>
    <w:rsid w:val="001C4EF1"/>
    <w:rsid w:val="001C5B32"/>
    <w:rsid w:val="001C5BF0"/>
    <w:rsid w:val="001C6741"/>
    <w:rsid w:val="001D1F19"/>
    <w:rsid w:val="001D2107"/>
    <w:rsid w:val="001D4020"/>
    <w:rsid w:val="001D6378"/>
    <w:rsid w:val="001E06C4"/>
    <w:rsid w:val="001E1036"/>
    <w:rsid w:val="001E17F2"/>
    <w:rsid w:val="001E28F1"/>
    <w:rsid w:val="001E2BFE"/>
    <w:rsid w:val="001E3770"/>
    <w:rsid w:val="001E4E02"/>
    <w:rsid w:val="001E556B"/>
    <w:rsid w:val="001E6650"/>
    <w:rsid w:val="001E6D8B"/>
    <w:rsid w:val="001F27F0"/>
    <w:rsid w:val="001F3320"/>
    <w:rsid w:val="001F4E6F"/>
    <w:rsid w:val="001F5D9F"/>
    <w:rsid w:val="001F692E"/>
    <w:rsid w:val="00200EC9"/>
    <w:rsid w:val="00202976"/>
    <w:rsid w:val="00204376"/>
    <w:rsid w:val="00207921"/>
    <w:rsid w:val="00210C31"/>
    <w:rsid w:val="00210FD2"/>
    <w:rsid w:val="0021593B"/>
    <w:rsid w:val="002163CA"/>
    <w:rsid w:val="00216AF7"/>
    <w:rsid w:val="002173FE"/>
    <w:rsid w:val="00221723"/>
    <w:rsid w:val="002218A2"/>
    <w:rsid w:val="00222F02"/>
    <w:rsid w:val="0022381C"/>
    <w:rsid w:val="00223B5A"/>
    <w:rsid w:val="00223F1B"/>
    <w:rsid w:val="002241B0"/>
    <w:rsid w:val="002244E1"/>
    <w:rsid w:val="0022481E"/>
    <w:rsid w:val="0022499F"/>
    <w:rsid w:val="0022553F"/>
    <w:rsid w:val="00226015"/>
    <w:rsid w:val="0022779E"/>
    <w:rsid w:val="002305C7"/>
    <w:rsid w:val="00230DFC"/>
    <w:rsid w:val="00231899"/>
    <w:rsid w:val="00231D19"/>
    <w:rsid w:val="0023215A"/>
    <w:rsid w:val="00232646"/>
    <w:rsid w:val="002326C5"/>
    <w:rsid w:val="0023282B"/>
    <w:rsid w:val="00233EE8"/>
    <w:rsid w:val="002340F8"/>
    <w:rsid w:val="00234AC1"/>
    <w:rsid w:val="002352EF"/>
    <w:rsid w:val="00237B30"/>
    <w:rsid w:val="0024338A"/>
    <w:rsid w:val="0024392F"/>
    <w:rsid w:val="0024600D"/>
    <w:rsid w:val="00246AB4"/>
    <w:rsid w:val="00252A88"/>
    <w:rsid w:val="00252FE1"/>
    <w:rsid w:val="002542D1"/>
    <w:rsid w:val="002544CD"/>
    <w:rsid w:val="00255299"/>
    <w:rsid w:val="0025692B"/>
    <w:rsid w:val="002571F5"/>
    <w:rsid w:val="0026161A"/>
    <w:rsid w:val="00261C61"/>
    <w:rsid w:val="00263A3E"/>
    <w:rsid w:val="002660CA"/>
    <w:rsid w:val="0026614E"/>
    <w:rsid w:val="002665A1"/>
    <w:rsid w:val="00270ABB"/>
    <w:rsid w:val="00270DD5"/>
    <w:rsid w:val="00273569"/>
    <w:rsid w:val="00274A3B"/>
    <w:rsid w:val="00275548"/>
    <w:rsid w:val="00275F67"/>
    <w:rsid w:val="002761EC"/>
    <w:rsid w:val="00276341"/>
    <w:rsid w:val="00276F4D"/>
    <w:rsid w:val="00282B8E"/>
    <w:rsid w:val="00284E5D"/>
    <w:rsid w:val="002853DF"/>
    <w:rsid w:val="00285C4C"/>
    <w:rsid w:val="002879C2"/>
    <w:rsid w:val="00290EF8"/>
    <w:rsid w:val="00291639"/>
    <w:rsid w:val="002919F7"/>
    <w:rsid w:val="00292E04"/>
    <w:rsid w:val="002930D4"/>
    <w:rsid w:val="0029357D"/>
    <w:rsid w:val="00293581"/>
    <w:rsid w:val="00293AF7"/>
    <w:rsid w:val="00295B5B"/>
    <w:rsid w:val="002967D1"/>
    <w:rsid w:val="00296D59"/>
    <w:rsid w:val="00297728"/>
    <w:rsid w:val="002A1A23"/>
    <w:rsid w:val="002A1B90"/>
    <w:rsid w:val="002A3E67"/>
    <w:rsid w:val="002A5DA4"/>
    <w:rsid w:val="002A70C0"/>
    <w:rsid w:val="002A7F4B"/>
    <w:rsid w:val="002B0E93"/>
    <w:rsid w:val="002B1B31"/>
    <w:rsid w:val="002B2103"/>
    <w:rsid w:val="002B31A1"/>
    <w:rsid w:val="002B3FA7"/>
    <w:rsid w:val="002B44A4"/>
    <w:rsid w:val="002B492E"/>
    <w:rsid w:val="002C0418"/>
    <w:rsid w:val="002C170B"/>
    <w:rsid w:val="002C1A39"/>
    <w:rsid w:val="002C1A3D"/>
    <w:rsid w:val="002C1C3B"/>
    <w:rsid w:val="002C2AB4"/>
    <w:rsid w:val="002C37B9"/>
    <w:rsid w:val="002C5544"/>
    <w:rsid w:val="002C5DE7"/>
    <w:rsid w:val="002C69F2"/>
    <w:rsid w:val="002C6A54"/>
    <w:rsid w:val="002C6AC6"/>
    <w:rsid w:val="002C7647"/>
    <w:rsid w:val="002D02CF"/>
    <w:rsid w:val="002D12FB"/>
    <w:rsid w:val="002D18CD"/>
    <w:rsid w:val="002D20E9"/>
    <w:rsid w:val="002D3DB2"/>
    <w:rsid w:val="002D4B3B"/>
    <w:rsid w:val="002D4EDF"/>
    <w:rsid w:val="002D7929"/>
    <w:rsid w:val="002E04B8"/>
    <w:rsid w:val="002E0FF1"/>
    <w:rsid w:val="002E17C9"/>
    <w:rsid w:val="002E2672"/>
    <w:rsid w:val="002E3AC6"/>
    <w:rsid w:val="002E4D8F"/>
    <w:rsid w:val="002E5D16"/>
    <w:rsid w:val="002F01AF"/>
    <w:rsid w:val="002F0C96"/>
    <w:rsid w:val="002F122E"/>
    <w:rsid w:val="002F137C"/>
    <w:rsid w:val="002F2BF5"/>
    <w:rsid w:val="002F376E"/>
    <w:rsid w:val="002F5F51"/>
    <w:rsid w:val="002F707C"/>
    <w:rsid w:val="002F7FDE"/>
    <w:rsid w:val="003005F3"/>
    <w:rsid w:val="00302BFB"/>
    <w:rsid w:val="003036B8"/>
    <w:rsid w:val="00305184"/>
    <w:rsid w:val="003078DA"/>
    <w:rsid w:val="0031051E"/>
    <w:rsid w:val="00310958"/>
    <w:rsid w:val="00311EFD"/>
    <w:rsid w:val="003163D8"/>
    <w:rsid w:val="00316988"/>
    <w:rsid w:val="00316D0F"/>
    <w:rsid w:val="00317743"/>
    <w:rsid w:val="003177C6"/>
    <w:rsid w:val="00321938"/>
    <w:rsid w:val="00321A8A"/>
    <w:rsid w:val="0032231B"/>
    <w:rsid w:val="00323946"/>
    <w:rsid w:val="00326F73"/>
    <w:rsid w:val="003276B9"/>
    <w:rsid w:val="003320C5"/>
    <w:rsid w:val="0033263C"/>
    <w:rsid w:val="00332719"/>
    <w:rsid w:val="00333313"/>
    <w:rsid w:val="00333B98"/>
    <w:rsid w:val="0033504F"/>
    <w:rsid w:val="00335C32"/>
    <w:rsid w:val="00337A8B"/>
    <w:rsid w:val="00337CE3"/>
    <w:rsid w:val="003405CC"/>
    <w:rsid w:val="003422DE"/>
    <w:rsid w:val="003430A1"/>
    <w:rsid w:val="003444B3"/>
    <w:rsid w:val="00345FBB"/>
    <w:rsid w:val="0034625B"/>
    <w:rsid w:val="00347BE8"/>
    <w:rsid w:val="00347E59"/>
    <w:rsid w:val="003509B2"/>
    <w:rsid w:val="00353B8C"/>
    <w:rsid w:val="003549E4"/>
    <w:rsid w:val="00355D04"/>
    <w:rsid w:val="0035731A"/>
    <w:rsid w:val="00362497"/>
    <w:rsid w:val="003628E3"/>
    <w:rsid w:val="00362F91"/>
    <w:rsid w:val="003639D1"/>
    <w:rsid w:val="0036548C"/>
    <w:rsid w:val="00370D89"/>
    <w:rsid w:val="0037141D"/>
    <w:rsid w:val="00371AEE"/>
    <w:rsid w:val="00373844"/>
    <w:rsid w:val="00373E15"/>
    <w:rsid w:val="003740B3"/>
    <w:rsid w:val="0037575A"/>
    <w:rsid w:val="003773B9"/>
    <w:rsid w:val="00377D49"/>
    <w:rsid w:val="00380CE6"/>
    <w:rsid w:val="0038170E"/>
    <w:rsid w:val="00382DA5"/>
    <w:rsid w:val="00383978"/>
    <w:rsid w:val="0038429F"/>
    <w:rsid w:val="00386214"/>
    <w:rsid w:val="00386A6C"/>
    <w:rsid w:val="003878BD"/>
    <w:rsid w:val="00387F68"/>
    <w:rsid w:val="00392228"/>
    <w:rsid w:val="00392949"/>
    <w:rsid w:val="003947F5"/>
    <w:rsid w:val="003A24C9"/>
    <w:rsid w:val="003A2850"/>
    <w:rsid w:val="003A28D5"/>
    <w:rsid w:val="003A571B"/>
    <w:rsid w:val="003A5A66"/>
    <w:rsid w:val="003A6F61"/>
    <w:rsid w:val="003B07DC"/>
    <w:rsid w:val="003B2B44"/>
    <w:rsid w:val="003B3509"/>
    <w:rsid w:val="003B431B"/>
    <w:rsid w:val="003B743A"/>
    <w:rsid w:val="003C0397"/>
    <w:rsid w:val="003C0410"/>
    <w:rsid w:val="003C1571"/>
    <w:rsid w:val="003C36C2"/>
    <w:rsid w:val="003C58D6"/>
    <w:rsid w:val="003C6DD5"/>
    <w:rsid w:val="003C792E"/>
    <w:rsid w:val="003C7D97"/>
    <w:rsid w:val="003D0EDE"/>
    <w:rsid w:val="003D219C"/>
    <w:rsid w:val="003D63EC"/>
    <w:rsid w:val="003D7539"/>
    <w:rsid w:val="003F01C8"/>
    <w:rsid w:val="003F0BAF"/>
    <w:rsid w:val="003F7DDA"/>
    <w:rsid w:val="00400BEA"/>
    <w:rsid w:val="00401352"/>
    <w:rsid w:val="00401831"/>
    <w:rsid w:val="0040225F"/>
    <w:rsid w:val="00403F9B"/>
    <w:rsid w:val="00404556"/>
    <w:rsid w:val="004049D8"/>
    <w:rsid w:val="00404E9A"/>
    <w:rsid w:val="00405187"/>
    <w:rsid w:val="004055BE"/>
    <w:rsid w:val="00405F15"/>
    <w:rsid w:val="004078BE"/>
    <w:rsid w:val="00407940"/>
    <w:rsid w:val="00407D14"/>
    <w:rsid w:val="00414235"/>
    <w:rsid w:val="004149FB"/>
    <w:rsid w:val="00414D54"/>
    <w:rsid w:val="00420D35"/>
    <w:rsid w:val="004211F1"/>
    <w:rsid w:val="004218D7"/>
    <w:rsid w:val="004221B6"/>
    <w:rsid w:val="00422646"/>
    <w:rsid w:val="00422734"/>
    <w:rsid w:val="004229F7"/>
    <w:rsid w:val="00425E2E"/>
    <w:rsid w:val="00426E19"/>
    <w:rsid w:val="00427BE4"/>
    <w:rsid w:val="004300AA"/>
    <w:rsid w:val="00431941"/>
    <w:rsid w:val="00432AF2"/>
    <w:rsid w:val="004331C7"/>
    <w:rsid w:val="00434AE2"/>
    <w:rsid w:val="00434D9B"/>
    <w:rsid w:val="004360E4"/>
    <w:rsid w:val="00437D9E"/>
    <w:rsid w:val="004406E2"/>
    <w:rsid w:val="004408DF"/>
    <w:rsid w:val="00440EDC"/>
    <w:rsid w:val="004417AA"/>
    <w:rsid w:val="00442D08"/>
    <w:rsid w:val="00442FA3"/>
    <w:rsid w:val="004436BC"/>
    <w:rsid w:val="004463C3"/>
    <w:rsid w:val="00450164"/>
    <w:rsid w:val="00450364"/>
    <w:rsid w:val="00450719"/>
    <w:rsid w:val="004510D0"/>
    <w:rsid w:val="004510D1"/>
    <w:rsid w:val="004524FF"/>
    <w:rsid w:val="00454A69"/>
    <w:rsid w:val="00455091"/>
    <w:rsid w:val="00456F50"/>
    <w:rsid w:val="00457B4F"/>
    <w:rsid w:val="00457C89"/>
    <w:rsid w:val="004622B1"/>
    <w:rsid w:val="00462F9A"/>
    <w:rsid w:val="00463D25"/>
    <w:rsid w:val="00464337"/>
    <w:rsid w:val="004650AF"/>
    <w:rsid w:val="00465E17"/>
    <w:rsid w:val="00466212"/>
    <w:rsid w:val="004700D8"/>
    <w:rsid w:val="00470799"/>
    <w:rsid w:val="00471F51"/>
    <w:rsid w:val="0047231C"/>
    <w:rsid w:val="004724EB"/>
    <w:rsid w:val="0047256A"/>
    <w:rsid w:val="00475EBA"/>
    <w:rsid w:val="0048359B"/>
    <w:rsid w:val="00483AAC"/>
    <w:rsid w:val="00483B5F"/>
    <w:rsid w:val="004865C2"/>
    <w:rsid w:val="00490AEB"/>
    <w:rsid w:val="004921E5"/>
    <w:rsid w:val="00493508"/>
    <w:rsid w:val="004943D4"/>
    <w:rsid w:val="00496CC6"/>
    <w:rsid w:val="004976AD"/>
    <w:rsid w:val="00497719"/>
    <w:rsid w:val="004978E6"/>
    <w:rsid w:val="00497A0F"/>
    <w:rsid w:val="00497F83"/>
    <w:rsid w:val="004A0019"/>
    <w:rsid w:val="004A1012"/>
    <w:rsid w:val="004A1751"/>
    <w:rsid w:val="004A3260"/>
    <w:rsid w:val="004A3AAD"/>
    <w:rsid w:val="004A3AC9"/>
    <w:rsid w:val="004A6500"/>
    <w:rsid w:val="004A6E46"/>
    <w:rsid w:val="004B1FC2"/>
    <w:rsid w:val="004B2B51"/>
    <w:rsid w:val="004B39FD"/>
    <w:rsid w:val="004B3EDF"/>
    <w:rsid w:val="004B48A1"/>
    <w:rsid w:val="004B4CA9"/>
    <w:rsid w:val="004B6CAE"/>
    <w:rsid w:val="004B72FA"/>
    <w:rsid w:val="004C6243"/>
    <w:rsid w:val="004C65F3"/>
    <w:rsid w:val="004C7E75"/>
    <w:rsid w:val="004D0961"/>
    <w:rsid w:val="004D10AF"/>
    <w:rsid w:val="004D2897"/>
    <w:rsid w:val="004D512D"/>
    <w:rsid w:val="004D6201"/>
    <w:rsid w:val="004D7C3C"/>
    <w:rsid w:val="004E0662"/>
    <w:rsid w:val="004E25D5"/>
    <w:rsid w:val="004E280E"/>
    <w:rsid w:val="004E3717"/>
    <w:rsid w:val="004E3919"/>
    <w:rsid w:val="004E69D4"/>
    <w:rsid w:val="004F24CB"/>
    <w:rsid w:val="004F491D"/>
    <w:rsid w:val="004F5184"/>
    <w:rsid w:val="004F5EA0"/>
    <w:rsid w:val="00500866"/>
    <w:rsid w:val="005008A3"/>
    <w:rsid w:val="00500F78"/>
    <w:rsid w:val="00501F42"/>
    <w:rsid w:val="005048C4"/>
    <w:rsid w:val="005050F2"/>
    <w:rsid w:val="00510A14"/>
    <w:rsid w:val="00510AAB"/>
    <w:rsid w:val="005112AF"/>
    <w:rsid w:val="00511543"/>
    <w:rsid w:val="0051300F"/>
    <w:rsid w:val="00513E59"/>
    <w:rsid w:val="00513F40"/>
    <w:rsid w:val="0051495B"/>
    <w:rsid w:val="005156CB"/>
    <w:rsid w:val="00517505"/>
    <w:rsid w:val="00517AA5"/>
    <w:rsid w:val="005208EA"/>
    <w:rsid w:val="005215B0"/>
    <w:rsid w:val="00521BDE"/>
    <w:rsid w:val="005220F6"/>
    <w:rsid w:val="00523C7A"/>
    <w:rsid w:val="00524BBA"/>
    <w:rsid w:val="00524BE0"/>
    <w:rsid w:val="0052550B"/>
    <w:rsid w:val="0052627B"/>
    <w:rsid w:val="005338A6"/>
    <w:rsid w:val="00533CA5"/>
    <w:rsid w:val="005344BC"/>
    <w:rsid w:val="00535CA4"/>
    <w:rsid w:val="00536DF3"/>
    <w:rsid w:val="005401E2"/>
    <w:rsid w:val="0054401E"/>
    <w:rsid w:val="00545AC1"/>
    <w:rsid w:val="00545D3E"/>
    <w:rsid w:val="005460C8"/>
    <w:rsid w:val="00551D88"/>
    <w:rsid w:val="00553D10"/>
    <w:rsid w:val="005546AC"/>
    <w:rsid w:val="005560EC"/>
    <w:rsid w:val="005565E0"/>
    <w:rsid w:val="00562057"/>
    <w:rsid w:val="00563E72"/>
    <w:rsid w:val="00564059"/>
    <w:rsid w:val="00566026"/>
    <w:rsid w:val="0056625F"/>
    <w:rsid w:val="005662EB"/>
    <w:rsid w:val="00567827"/>
    <w:rsid w:val="00573022"/>
    <w:rsid w:val="00573F59"/>
    <w:rsid w:val="00574299"/>
    <w:rsid w:val="005762FA"/>
    <w:rsid w:val="00576798"/>
    <w:rsid w:val="00581378"/>
    <w:rsid w:val="005820F3"/>
    <w:rsid w:val="00582CC7"/>
    <w:rsid w:val="00584821"/>
    <w:rsid w:val="00585C45"/>
    <w:rsid w:val="0058613D"/>
    <w:rsid w:val="00587B25"/>
    <w:rsid w:val="00590517"/>
    <w:rsid w:val="00591AF0"/>
    <w:rsid w:val="005926B4"/>
    <w:rsid w:val="0059288E"/>
    <w:rsid w:val="005953FA"/>
    <w:rsid w:val="00595B0C"/>
    <w:rsid w:val="00596648"/>
    <w:rsid w:val="00597C5E"/>
    <w:rsid w:val="005A0AA0"/>
    <w:rsid w:val="005A1488"/>
    <w:rsid w:val="005A2C09"/>
    <w:rsid w:val="005A4EDA"/>
    <w:rsid w:val="005A5B5C"/>
    <w:rsid w:val="005A5D7A"/>
    <w:rsid w:val="005A6F9F"/>
    <w:rsid w:val="005B05C9"/>
    <w:rsid w:val="005B20A1"/>
    <w:rsid w:val="005B34D3"/>
    <w:rsid w:val="005B37D0"/>
    <w:rsid w:val="005B5070"/>
    <w:rsid w:val="005B514E"/>
    <w:rsid w:val="005B59F8"/>
    <w:rsid w:val="005B61AF"/>
    <w:rsid w:val="005B6904"/>
    <w:rsid w:val="005B6DA1"/>
    <w:rsid w:val="005B6FCF"/>
    <w:rsid w:val="005B7315"/>
    <w:rsid w:val="005B798C"/>
    <w:rsid w:val="005B7B7D"/>
    <w:rsid w:val="005B7CAE"/>
    <w:rsid w:val="005C0C8F"/>
    <w:rsid w:val="005C1BF1"/>
    <w:rsid w:val="005C4A23"/>
    <w:rsid w:val="005C54A3"/>
    <w:rsid w:val="005C5955"/>
    <w:rsid w:val="005C5B38"/>
    <w:rsid w:val="005C5B78"/>
    <w:rsid w:val="005C66CD"/>
    <w:rsid w:val="005C794E"/>
    <w:rsid w:val="005C7D9F"/>
    <w:rsid w:val="005C7E41"/>
    <w:rsid w:val="005D0840"/>
    <w:rsid w:val="005D123D"/>
    <w:rsid w:val="005D1849"/>
    <w:rsid w:val="005D261B"/>
    <w:rsid w:val="005D464A"/>
    <w:rsid w:val="005D616B"/>
    <w:rsid w:val="005E02C3"/>
    <w:rsid w:val="005E0AAA"/>
    <w:rsid w:val="005E3985"/>
    <w:rsid w:val="005E5772"/>
    <w:rsid w:val="005E7273"/>
    <w:rsid w:val="005F1769"/>
    <w:rsid w:val="005F1A0A"/>
    <w:rsid w:val="005F2651"/>
    <w:rsid w:val="005F2A12"/>
    <w:rsid w:val="005F4B0D"/>
    <w:rsid w:val="005F5843"/>
    <w:rsid w:val="005F6322"/>
    <w:rsid w:val="005F7AD3"/>
    <w:rsid w:val="00603A5D"/>
    <w:rsid w:val="00604304"/>
    <w:rsid w:val="00604B63"/>
    <w:rsid w:val="00604FD8"/>
    <w:rsid w:val="0060580C"/>
    <w:rsid w:val="00605BFA"/>
    <w:rsid w:val="006077F8"/>
    <w:rsid w:val="006079AE"/>
    <w:rsid w:val="00610586"/>
    <w:rsid w:val="006139E8"/>
    <w:rsid w:val="006140E6"/>
    <w:rsid w:val="00615204"/>
    <w:rsid w:val="00616327"/>
    <w:rsid w:val="00617845"/>
    <w:rsid w:val="00617E60"/>
    <w:rsid w:val="006205DC"/>
    <w:rsid w:val="00620CB3"/>
    <w:rsid w:val="00620D4B"/>
    <w:rsid w:val="006218AE"/>
    <w:rsid w:val="00622F26"/>
    <w:rsid w:val="00627DA6"/>
    <w:rsid w:val="006306A0"/>
    <w:rsid w:val="00631C34"/>
    <w:rsid w:val="00632E16"/>
    <w:rsid w:val="006333F4"/>
    <w:rsid w:val="00633560"/>
    <w:rsid w:val="0063514A"/>
    <w:rsid w:val="006351DD"/>
    <w:rsid w:val="006359CF"/>
    <w:rsid w:val="0063688C"/>
    <w:rsid w:val="00637ACF"/>
    <w:rsid w:val="00640C2D"/>
    <w:rsid w:val="006442D9"/>
    <w:rsid w:val="00644E60"/>
    <w:rsid w:val="00645A93"/>
    <w:rsid w:val="0064657B"/>
    <w:rsid w:val="00647BA5"/>
    <w:rsid w:val="00650379"/>
    <w:rsid w:val="00650C77"/>
    <w:rsid w:val="00650F1D"/>
    <w:rsid w:val="00651F41"/>
    <w:rsid w:val="006522C9"/>
    <w:rsid w:val="00653168"/>
    <w:rsid w:val="006551FB"/>
    <w:rsid w:val="006552A9"/>
    <w:rsid w:val="00660C35"/>
    <w:rsid w:val="0066119B"/>
    <w:rsid w:val="0066145D"/>
    <w:rsid w:val="0066187D"/>
    <w:rsid w:val="00661CCD"/>
    <w:rsid w:val="006620B0"/>
    <w:rsid w:val="00662F4E"/>
    <w:rsid w:val="0066314A"/>
    <w:rsid w:val="00663B6E"/>
    <w:rsid w:val="006675FE"/>
    <w:rsid w:val="006713C2"/>
    <w:rsid w:val="006726ED"/>
    <w:rsid w:val="00674733"/>
    <w:rsid w:val="006762A7"/>
    <w:rsid w:val="00676E0D"/>
    <w:rsid w:val="00677075"/>
    <w:rsid w:val="00682416"/>
    <w:rsid w:val="00682BC8"/>
    <w:rsid w:val="0068426F"/>
    <w:rsid w:val="00684C9D"/>
    <w:rsid w:val="006859E0"/>
    <w:rsid w:val="006863FD"/>
    <w:rsid w:val="0068782B"/>
    <w:rsid w:val="00690B36"/>
    <w:rsid w:val="00690CD6"/>
    <w:rsid w:val="0069130F"/>
    <w:rsid w:val="00692186"/>
    <w:rsid w:val="00692E1F"/>
    <w:rsid w:val="00693712"/>
    <w:rsid w:val="006944E8"/>
    <w:rsid w:val="0069515B"/>
    <w:rsid w:val="0069523A"/>
    <w:rsid w:val="00697353"/>
    <w:rsid w:val="006A0121"/>
    <w:rsid w:val="006A0131"/>
    <w:rsid w:val="006A09DC"/>
    <w:rsid w:val="006A0D69"/>
    <w:rsid w:val="006A14BD"/>
    <w:rsid w:val="006A236D"/>
    <w:rsid w:val="006A2CF3"/>
    <w:rsid w:val="006A6C4F"/>
    <w:rsid w:val="006A728A"/>
    <w:rsid w:val="006B2569"/>
    <w:rsid w:val="006B5D4A"/>
    <w:rsid w:val="006B7F6C"/>
    <w:rsid w:val="006C0252"/>
    <w:rsid w:val="006C429D"/>
    <w:rsid w:val="006C6CA6"/>
    <w:rsid w:val="006C7532"/>
    <w:rsid w:val="006C7CD7"/>
    <w:rsid w:val="006D013E"/>
    <w:rsid w:val="006D0303"/>
    <w:rsid w:val="006D0310"/>
    <w:rsid w:val="006D0961"/>
    <w:rsid w:val="006D1D62"/>
    <w:rsid w:val="006D2D16"/>
    <w:rsid w:val="006D38A8"/>
    <w:rsid w:val="006D56A8"/>
    <w:rsid w:val="006D5F07"/>
    <w:rsid w:val="006D6B6C"/>
    <w:rsid w:val="006D77DD"/>
    <w:rsid w:val="006E3112"/>
    <w:rsid w:val="006E41A4"/>
    <w:rsid w:val="006E46D3"/>
    <w:rsid w:val="006E68CD"/>
    <w:rsid w:val="006E734F"/>
    <w:rsid w:val="006F48AA"/>
    <w:rsid w:val="00701689"/>
    <w:rsid w:val="00701765"/>
    <w:rsid w:val="00702F0C"/>
    <w:rsid w:val="00704706"/>
    <w:rsid w:val="00704B11"/>
    <w:rsid w:val="00704D53"/>
    <w:rsid w:val="00704DFF"/>
    <w:rsid w:val="00706224"/>
    <w:rsid w:val="007064FD"/>
    <w:rsid w:val="007067E8"/>
    <w:rsid w:val="007116AC"/>
    <w:rsid w:val="00712546"/>
    <w:rsid w:val="00714290"/>
    <w:rsid w:val="0071487B"/>
    <w:rsid w:val="007156A5"/>
    <w:rsid w:val="007158C0"/>
    <w:rsid w:val="0071720D"/>
    <w:rsid w:val="00721FF2"/>
    <w:rsid w:val="0072200B"/>
    <w:rsid w:val="00722573"/>
    <w:rsid w:val="00722B4E"/>
    <w:rsid w:val="00722B56"/>
    <w:rsid w:val="00723342"/>
    <w:rsid w:val="00723AE8"/>
    <w:rsid w:val="00723F2F"/>
    <w:rsid w:val="00724766"/>
    <w:rsid w:val="00724AFD"/>
    <w:rsid w:val="007305E2"/>
    <w:rsid w:val="00732078"/>
    <w:rsid w:val="00732512"/>
    <w:rsid w:val="00733664"/>
    <w:rsid w:val="007336D3"/>
    <w:rsid w:val="00735E3F"/>
    <w:rsid w:val="00736A60"/>
    <w:rsid w:val="00737332"/>
    <w:rsid w:val="00737F1E"/>
    <w:rsid w:val="007403C0"/>
    <w:rsid w:val="00741296"/>
    <w:rsid w:val="007422ED"/>
    <w:rsid w:val="00742332"/>
    <w:rsid w:val="0074279E"/>
    <w:rsid w:val="00742B8D"/>
    <w:rsid w:val="00743F54"/>
    <w:rsid w:val="00745C13"/>
    <w:rsid w:val="0074641C"/>
    <w:rsid w:val="00746843"/>
    <w:rsid w:val="0075048C"/>
    <w:rsid w:val="007525D5"/>
    <w:rsid w:val="00752F6C"/>
    <w:rsid w:val="007558A5"/>
    <w:rsid w:val="00756EC1"/>
    <w:rsid w:val="00757C97"/>
    <w:rsid w:val="00760344"/>
    <w:rsid w:val="00760445"/>
    <w:rsid w:val="0076169D"/>
    <w:rsid w:val="00764249"/>
    <w:rsid w:val="00765E18"/>
    <w:rsid w:val="0076776F"/>
    <w:rsid w:val="00767BA2"/>
    <w:rsid w:val="007708F4"/>
    <w:rsid w:val="00771A6C"/>
    <w:rsid w:val="0077373B"/>
    <w:rsid w:val="00773B1A"/>
    <w:rsid w:val="007741AA"/>
    <w:rsid w:val="007743CA"/>
    <w:rsid w:val="00776980"/>
    <w:rsid w:val="0077707D"/>
    <w:rsid w:val="0078099C"/>
    <w:rsid w:val="0078534B"/>
    <w:rsid w:val="00785D99"/>
    <w:rsid w:val="00790DB7"/>
    <w:rsid w:val="00795ED8"/>
    <w:rsid w:val="007963B7"/>
    <w:rsid w:val="0079644B"/>
    <w:rsid w:val="007967E4"/>
    <w:rsid w:val="00797D08"/>
    <w:rsid w:val="00797F8E"/>
    <w:rsid w:val="007A13CD"/>
    <w:rsid w:val="007A201C"/>
    <w:rsid w:val="007A2948"/>
    <w:rsid w:val="007A37A9"/>
    <w:rsid w:val="007A422C"/>
    <w:rsid w:val="007A4957"/>
    <w:rsid w:val="007A5AF1"/>
    <w:rsid w:val="007A6145"/>
    <w:rsid w:val="007A6347"/>
    <w:rsid w:val="007A648D"/>
    <w:rsid w:val="007A68DB"/>
    <w:rsid w:val="007A6C39"/>
    <w:rsid w:val="007A6E0C"/>
    <w:rsid w:val="007A7295"/>
    <w:rsid w:val="007A7678"/>
    <w:rsid w:val="007B05E3"/>
    <w:rsid w:val="007B3E18"/>
    <w:rsid w:val="007B5801"/>
    <w:rsid w:val="007B5DF5"/>
    <w:rsid w:val="007B7E74"/>
    <w:rsid w:val="007C05AE"/>
    <w:rsid w:val="007C1098"/>
    <w:rsid w:val="007C3062"/>
    <w:rsid w:val="007C53E5"/>
    <w:rsid w:val="007C5EC5"/>
    <w:rsid w:val="007C70F5"/>
    <w:rsid w:val="007C7163"/>
    <w:rsid w:val="007C732E"/>
    <w:rsid w:val="007C7FD5"/>
    <w:rsid w:val="007D0029"/>
    <w:rsid w:val="007D0D88"/>
    <w:rsid w:val="007D16BC"/>
    <w:rsid w:val="007D2A9A"/>
    <w:rsid w:val="007D2EF3"/>
    <w:rsid w:val="007D465B"/>
    <w:rsid w:val="007D508F"/>
    <w:rsid w:val="007D566C"/>
    <w:rsid w:val="007D56F7"/>
    <w:rsid w:val="007D71E9"/>
    <w:rsid w:val="007D7412"/>
    <w:rsid w:val="007E076A"/>
    <w:rsid w:val="007E0AA9"/>
    <w:rsid w:val="007E22F7"/>
    <w:rsid w:val="007E24EB"/>
    <w:rsid w:val="007E4113"/>
    <w:rsid w:val="007E694D"/>
    <w:rsid w:val="007E7C75"/>
    <w:rsid w:val="007F59AC"/>
    <w:rsid w:val="007F6D52"/>
    <w:rsid w:val="007F78E3"/>
    <w:rsid w:val="0080037B"/>
    <w:rsid w:val="00801774"/>
    <w:rsid w:val="00802A2D"/>
    <w:rsid w:val="00804649"/>
    <w:rsid w:val="00805963"/>
    <w:rsid w:val="00806FDF"/>
    <w:rsid w:val="00810252"/>
    <w:rsid w:val="008109DE"/>
    <w:rsid w:val="00810DD2"/>
    <w:rsid w:val="0081102E"/>
    <w:rsid w:val="008117A8"/>
    <w:rsid w:val="008124D8"/>
    <w:rsid w:val="00812E02"/>
    <w:rsid w:val="00812F54"/>
    <w:rsid w:val="00816AB8"/>
    <w:rsid w:val="00823890"/>
    <w:rsid w:val="00824658"/>
    <w:rsid w:val="00825744"/>
    <w:rsid w:val="00825D99"/>
    <w:rsid w:val="00826D2B"/>
    <w:rsid w:val="00827BD3"/>
    <w:rsid w:val="00830178"/>
    <w:rsid w:val="008309E9"/>
    <w:rsid w:val="0084136D"/>
    <w:rsid w:val="00841CBA"/>
    <w:rsid w:val="00842065"/>
    <w:rsid w:val="008420B6"/>
    <w:rsid w:val="008424D8"/>
    <w:rsid w:val="00843F78"/>
    <w:rsid w:val="00845041"/>
    <w:rsid w:val="00845351"/>
    <w:rsid w:val="00846E74"/>
    <w:rsid w:val="008501B8"/>
    <w:rsid w:val="00851170"/>
    <w:rsid w:val="00851338"/>
    <w:rsid w:val="008514E5"/>
    <w:rsid w:val="00851CE7"/>
    <w:rsid w:val="00852C0C"/>
    <w:rsid w:val="00855A30"/>
    <w:rsid w:val="008573C9"/>
    <w:rsid w:val="00860CFD"/>
    <w:rsid w:val="0086166B"/>
    <w:rsid w:val="00861CE6"/>
    <w:rsid w:val="0086283E"/>
    <w:rsid w:val="0086294A"/>
    <w:rsid w:val="0086307B"/>
    <w:rsid w:val="00863284"/>
    <w:rsid w:val="008645A6"/>
    <w:rsid w:val="008646F6"/>
    <w:rsid w:val="00865376"/>
    <w:rsid w:val="008654ED"/>
    <w:rsid w:val="00865985"/>
    <w:rsid w:val="00872F92"/>
    <w:rsid w:val="00873CA4"/>
    <w:rsid w:val="00875840"/>
    <w:rsid w:val="00877D9B"/>
    <w:rsid w:val="008819B3"/>
    <w:rsid w:val="008849E7"/>
    <w:rsid w:val="00886005"/>
    <w:rsid w:val="00886072"/>
    <w:rsid w:val="00886628"/>
    <w:rsid w:val="008877A2"/>
    <w:rsid w:val="0088793A"/>
    <w:rsid w:val="00887D4C"/>
    <w:rsid w:val="00891B8B"/>
    <w:rsid w:val="00891CC0"/>
    <w:rsid w:val="0089247A"/>
    <w:rsid w:val="00892FAA"/>
    <w:rsid w:val="008942DE"/>
    <w:rsid w:val="008944B2"/>
    <w:rsid w:val="008953C7"/>
    <w:rsid w:val="00895451"/>
    <w:rsid w:val="00896B02"/>
    <w:rsid w:val="008972AE"/>
    <w:rsid w:val="00897B29"/>
    <w:rsid w:val="008A1509"/>
    <w:rsid w:val="008A1FD6"/>
    <w:rsid w:val="008A244E"/>
    <w:rsid w:val="008A46BD"/>
    <w:rsid w:val="008A5410"/>
    <w:rsid w:val="008A6058"/>
    <w:rsid w:val="008A6B02"/>
    <w:rsid w:val="008A6EDE"/>
    <w:rsid w:val="008A731C"/>
    <w:rsid w:val="008A76A6"/>
    <w:rsid w:val="008B0C0D"/>
    <w:rsid w:val="008B1884"/>
    <w:rsid w:val="008B238B"/>
    <w:rsid w:val="008B29B6"/>
    <w:rsid w:val="008B44FF"/>
    <w:rsid w:val="008B5098"/>
    <w:rsid w:val="008B59E0"/>
    <w:rsid w:val="008B6CC5"/>
    <w:rsid w:val="008B7E78"/>
    <w:rsid w:val="008C02E7"/>
    <w:rsid w:val="008C0EB8"/>
    <w:rsid w:val="008C10E5"/>
    <w:rsid w:val="008C3043"/>
    <w:rsid w:val="008C368D"/>
    <w:rsid w:val="008C3E73"/>
    <w:rsid w:val="008C42BB"/>
    <w:rsid w:val="008C4329"/>
    <w:rsid w:val="008C44C1"/>
    <w:rsid w:val="008C4822"/>
    <w:rsid w:val="008C4C8B"/>
    <w:rsid w:val="008C4E7C"/>
    <w:rsid w:val="008C7791"/>
    <w:rsid w:val="008C7ECA"/>
    <w:rsid w:val="008D0AD7"/>
    <w:rsid w:val="008D0F38"/>
    <w:rsid w:val="008D1175"/>
    <w:rsid w:val="008D232E"/>
    <w:rsid w:val="008D33EE"/>
    <w:rsid w:val="008D377C"/>
    <w:rsid w:val="008D3E7D"/>
    <w:rsid w:val="008D6BCF"/>
    <w:rsid w:val="008D7FE6"/>
    <w:rsid w:val="008E0729"/>
    <w:rsid w:val="008E12E2"/>
    <w:rsid w:val="008E13A8"/>
    <w:rsid w:val="008E1AC2"/>
    <w:rsid w:val="008E33CC"/>
    <w:rsid w:val="008E50A5"/>
    <w:rsid w:val="008E6607"/>
    <w:rsid w:val="008E7077"/>
    <w:rsid w:val="008F0511"/>
    <w:rsid w:val="00900EAA"/>
    <w:rsid w:val="00902CDC"/>
    <w:rsid w:val="00902E84"/>
    <w:rsid w:val="00903140"/>
    <w:rsid w:val="009031EB"/>
    <w:rsid w:val="0090334B"/>
    <w:rsid w:val="00904609"/>
    <w:rsid w:val="00904622"/>
    <w:rsid w:val="00904897"/>
    <w:rsid w:val="00907CEC"/>
    <w:rsid w:val="00907DDB"/>
    <w:rsid w:val="00913585"/>
    <w:rsid w:val="0091366B"/>
    <w:rsid w:val="009145AE"/>
    <w:rsid w:val="00914EDA"/>
    <w:rsid w:val="00916AE4"/>
    <w:rsid w:val="00916C31"/>
    <w:rsid w:val="00917038"/>
    <w:rsid w:val="00920B55"/>
    <w:rsid w:val="00920ED1"/>
    <w:rsid w:val="00921206"/>
    <w:rsid w:val="009225EA"/>
    <w:rsid w:val="00922FB6"/>
    <w:rsid w:val="00923566"/>
    <w:rsid w:val="009236D9"/>
    <w:rsid w:val="00925D3A"/>
    <w:rsid w:val="009268C1"/>
    <w:rsid w:val="00930883"/>
    <w:rsid w:val="00930A89"/>
    <w:rsid w:val="00930E38"/>
    <w:rsid w:val="00930E93"/>
    <w:rsid w:val="0093112A"/>
    <w:rsid w:val="00932DA0"/>
    <w:rsid w:val="00933961"/>
    <w:rsid w:val="00934123"/>
    <w:rsid w:val="0093423D"/>
    <w:rsid w:val="00935211"/>
    <w:rsid w:val="00935642"/>
    <w:rsid w:val="009357B9"/>
    <w:rsid w:val="00935953"/>
    <w:rsid w:val="00941E47"/>
    <w:rsid w:val="009429FE"/>
    <w:rsid w:val="00943269"/>
    <w:rsid w:val="009447F6"/>
    <w:rsid w:val="00950C1A"/>
    <w:rsid w:val="00950CA6"/>
    <w:rsid w:val="00951134"/>
    <w:rsid w:val="00952B02"/>
    <w:rsid w:val="00952B14"/>
    <w:rsid w:val="00952CB8"/>
    <w:rsid w:val="00953449"/>
    <w:rsid w:val="00955C3A"/>
    <w:rsid w:val="0095694A"/>
    <w:rsid w:val="00956C1B"/>
    <w:rsid w:val="009578E0"/>
    <w:rsid w:val="00960170"/>
    <w:rsid w:val="00960E2F"/>
    <w:rsid w:val="00961211"/>
    <w:rsid w:val="00962DDE"/>
    <w:rsid w:val="00962EC7"/>
    <w:rsid w:val="009634C3"/>
    <w:rsid w:val="00963FA0"/>
    <w:rsid w:val="00966593"/>
    <w:rsid w:val="00966B86"/>
    <w:rsid w:val="00966EF7"/>
    <w:rsid w:val="009704F1"/>
    <w:rsid w:val="00970997"/>
    <w:rsid w:val="0097122D"/>
    <w:rsid w:val="00971557"/>
    <w:rsid w:val="00972B6E"/>
    <w:rsid w:val="00972C11"/>
    <w:rsid w:val="00973B91"/>
    <w:rsid w:val="0097518C"/>
    <w:rsid w:val="00975612"/>
    <w:rsid w:val="00976479"/>
    <w:rsid w:val="009769E6"/>
    <w:rsid w:val="009774F1"/>
    <w:rsid w:val="00977C65"/>
    <w:rsid w:val="00980637"/>
    <w:rsid w:val="00980AAD"/>
    <w:rsid w:val="00982CB9"/>
    <w:rsid w:val="00983402"/>
    <w:rsid w:val="00983429"/>
    <w:rsid w:val="0098377D"/>
    <w:rsid w:val="00984BE0"/>
    <w:rsid w:val="00984FB4"/>
    <w:rsid w:val="00985151"/>
    <w:rsid w:val="009858F2"/>
    <w:rsid w:val="0098650E"/>
    <w:rsid w:val="00987D9F"/>
    <w:rsid w:val="00990760"/>
    <w:rsid w:val="00990A5E"/>
    <w:rsid w:val="00992C53"/>
    <w:rsid w:val="00993810"/>
    <w:rsid w:val="009944A5"/>
    <w:rsid w:val="009946A4"/>
    <w:rsid w:val="00994F76"/>
    <w:rsid w:val="00996388"/>
    <w:rsid w:val="009971C2"/>
    <w:rsid w:val="00997C90"/>
    <w:rsid w:val="009A1B48"/>
    <w:rsid w:val="009A29FE"/>
    <w:rsid w:val="009A4245"/>
    <w:rsid w:val="009A461E"/>
    <w:rsid w:val="009A6182"/>
    <w:rsid w:val="009A78A7"/>
    <w:rsid w:val="009B3378"/>
    <w:rsid w:val="009B400A"/>
    <w:rsid w:val="009B4428"/>
    <w:rsid w:val="009B58F7"/>
    <w:rsid w:val="009B5C02"/>
    <w:rsid w:val="009B6C67"/>
    <w:rsid w:val="009C05D9"/>
    <w:rsid w:val="009C12F2"/>
    <w:rsid w:val="009C1DA9"/>
    <w:rsid w:val="009C1E0F"/>
    <w:rsid w:val="009C317A"/>
    <w:rsid w:val="009C5615"/>
    <w:rsid w:val="009C73D9"/>
    <w:rsid w:val="009C7996"/>
    <w:rsid w:val="009D1CB5"/>
    <w:rsid w:val="009D3AEF"/>
    <w:rsid w:val="009D4934"/>
    <w:rsid w:val="009D59AB"/>
    <w:rsid w:val="009D5A46"/>
    <w:rsid w:val="009D7D13"/>
    <w:rsid w:val="009E1AAD"/>
    <w:rsid w:val="009E22BE"/>
    <w:rsid w:val="009E3677"/>
    <w:rsid w:val="009E42B1"/>
    <w:rsid w:val="009E4AA0"/>
    <w:rsid w:val="009E5D95"/>
    <w:rsid w:val="009E6E5F"/>
    <w:rsid w:val="009E7D7F"/>
    <w:rsid w:val="009F152B"/>
    <w:rsid w:val="009F17D2"/>
    <w:rsid w:val="009F2404"/>
    <w:rsid w:val="009F240E"/>
    <w:rsid w:val="009F2FE2"/>
    <w:rsid w:val="009F302B"/>
    <w:rsid w:val="009F32C8"/>
    <w:rsid w:val="009F388C"/>
    <w:rsid w:val="009F4AAB"/>
    <w:rsid w:val="009F4DC2"/>
    <w:rsid w:val="009F6181"/>
    <w:rsid w:val="009F6901"/>
    <w:rsid w:val="00A00526"/>
    <w:rsid w:val="00A03541"/>
    <w:rsid w:val="00A03AB0"/>
    <w:rsid w:val="00A059AD"/>
    <w:rsid w:val="00A05D8D"/>
    <w:rsid w:val="00A06A81"/>
    <w:rsid w:val="00A07439"/>
    <w:rsid w:val="00A075F6"/>
    <w:rsid w:val="00A07B75"/>
    <w:rsid w:val="00A13542"/>
    <w:rsid w:val="00A13FF3"/>
    <w:rsid w:val="00A14420"/>
    <w:rsid w:val="00A14E73"/>
    <w:rsid w:val="00A208CB"/>
    <w:rsid w:val="00A209DF"/>
    <w:rsid w:val="00A2132C"/>
    <w:rsid w:val="00A22E98"/>
    <w:rsid w:val="00A23F25"/>
    <w:rsid w:val="00A24200"/>
    <w:rsid w:val="00A2515A"/>
    <w:rsid w:val="00A31367"/>
    <w:rsid w:val="00A31644"/>
    <w:rsid w:val="00A32824"/>
    <w:rsid w:val="00A33111"/>
    <w:rsid w:val="00A3548C"/>
    <w:rsid w:val="00A35542"/>
    <w:rsid w:val="00A35C88"/>
    <w:rsid w:val="00A3617B"/>
    <w:rsid w:val="00A37678"/>
    <w:rsid w:val="00A40896"/>
    <w:rsid w:val="00A4137B"/>
    <w:rsid w:val="00A41D12"/>
    <w:rsid w:val="00A422E3"/>
    <w:rsid w:val="00A4277C"/>
    <w:rsid w:val="00A434D3"/>
    <w:rsid w:val="00A43C5F"/>
    <w:rsid w:val="00A45A6A"/>
    <w:rsid w:val="00A521B7"/>
    <w:rsid w:val="00A55A40"/>
    <w:rsid w:val="00A55D73"/>
    <w:rsid w:val="00A56F85"/>
    <w:rsid w:val="00A621D4"/>
    <w:rsid w:val="00A62619"/>
    <w:rsid w:val="00A62DBE"/>
    <w:rsid w:val="00A65140"/>
    <w:rsid w:val="00A67595"/>
    <w:rsid w:val="00A6785C"/>
    <w:rsid w:val="00A67A39"/>
    <w:rsid w:val="00A71147"/>
    <w:rsid w:val="00A730A7"/>
    <w:rsid w:val="00A7313C"/>
    <w:rsid w:val="00A73547"/>
    <w:rsid w:val="00A7402E"/>
    <w:rsid w:val="00A74B0A"/>
    <w:rsid w:val="00A74FCB"/>
    <w:rsid w:val="00A752C5"/>
    <w:rsid w:val="00A76532"/>
    <w:rsid w:val="00A76673"/>
    <w:rsid w:val="00A812A6"/>
    <w:rsid w:val="00A81E30"/>
    <w:rsid w:val="00A823DB"/>
    <w:rsid w:val="00A90540"/>
    <w:rsid w:val="00A90C64"/>
    <w:rsid w:val="00A921EE"/>
    <w:rsid w:val="00A9267A"/>
    <w:rsid w:val="00A92858"/>
    <w:rsid w:val="00A931E1"/>
    <w:rsid w:val="00A93A1D"/>
    <w:rsid w:val="00A9412B"/>
    <w:rsid w:val="00AA0401"/>
    <w:rsid w:val="00AA06B5"/>
    <w:rsid w:val="00AA1694"/>
    <w:rsid w:val="00AA2102"/>
    <w:rsid w:val="00AA3243"/>
    <w:rsid w:val="00AA3E3C"/>
    <w:rsid w:val="00AA5D44"/>
    <w:rsid w:val="00AA6C75"/>
    <w:rsid w:val="00AB38A3"/>
    <w:rsid w:val="00AB4211"/>
    <w:rsid w:val="00AB6070"/>
    <w:rsid w:val="00AC0D18"/>
    <w:rsid w:val="00AC193C"/>
    <w:rsid w:val="00AD061C"/>
    <w:rsid w:val="00AD1A4F"/>
    <w:rsid w:val="00AD3354"/>
    <w:rsid w:val="00AE1567"/>
    <w:rsid w:val="00AE3E31"/>
    <w:rsid w:val="00AE5C01"/>
    <w:rsid w:val="00AE5D34"/>
    <w:rsid w:val="00AE5ECC"/>
    <w:rsid w:val="00AE753B"/>
    <w:rsid w:val="00AF29E4"/>
    <w:rsid w:val="00AF3E5F"/>
    <w:rsid w:val="00AF6CD0"/>
    <w:rsid w:val="00AF7447"/>
    <w:rsid w:val="00B00ACF"/>
    <w:rsid w:val="00B011E3"/>
    <w:rsid w:val="00B02233"/>
    <w:rsid w:val="00B02DC9"/>
    <w:rsid w:val="00B03120"/>
    <w:rsid w:val="00B05E46"/>
    <w:rsid w:val="00B065A7"/>
    <w:rsid w:val="00B071B5"/>
    <w:rsid w:val="00B07A60"/>
    <w:rsid w:val="00B07F5E"/>
    <w:rsid w:val="00B07FC0"/>
    <w:rsid w:val="00B10BB7"/>
    <w:rsid w:val="00B11AF4"/>
    <w:rsid w:val="00B12663"/>
    <w:rsid w:val="00B132A9"/>
    <w:rsid w:val="00B1416C"/>
    <w:rsid w:val="00B149B7"/>
    <w:rsid w:val="00B1561B"/>
    <w:rsid w:val="00B15C17"/>
    <w:rsid w:val="00B16322"/>
    <w:rsid w:val="00B168E4"/>
    <w:rsid w:val="00B16E2A"/>
    <w:rsid w:val="00B213E1"/>
    <w:rsid w:val="00B2148D"/>
    <w:rsid w:val="00B22AFE"/>
    <w:rsid w:val="00B25972"/>
    <w:rsid w:val="00B26222"/>
    <w:rsid w:val="00B268E2"/>
    <w:rsid w:val="00B3032B"/>
    <w:rsid w:val="00B30B09"/>
    <w:rsid w:val="00B30EFA"/>
    <w:rsid w:val="00B31227"/>
    <w:rsid w:val="00B31A52"/>
    <w:rsid w:val="00B337A1"/>
    <w:rsid w:val="00B345E9"/>
    <w:rsid w:val="00B34840"/>
    <w:rsid w:val="00B365CA"/>
    <w:rsid w:val="00B410A1"/>
    <w:rsid w:val="00B4407D"/>
    <w:rsid w:val="00B44540"/>
    <w:rsid w:val="00B44AAF"/>
    <w:rsid w:val="00B45B98"/>
    <w:rsid w:val="00B46A32"/>
    <w:rsid w:val="00B474E5"/>
    <w:rsid w:val="00B47901"/>
    <w:rsid w:val="00B50970"/>
    <w:rsid w:val="00B52BCA"/>
    <w:rsid w:val="00B545BE"/>
    <w:rsid w:val="00B54A31"/>
    <w:rsid w:val="00B5684D"/>
    <w:rsid w:val="00B6047E"/>
    <w:rsid w:val="00B62D71"/>
    <w:rsid w:val="00B64478"/>
    <w:rsid w:val="00B64841"/>
    <w:rsid w:val="00B65301"/>
    <w:rsid w:val="00B72F0B"/>
    <w:rsid w:val="00B73BA6"/>
    <w:rsid w:val="00B74531"/>
    <w:rsid w:val="00B800FE"/>
    <w:rsid w:val="00B8069D"/>
    <w:rsid w:val="00B808C2"/>
    <w:rsid w:val="00B8199C"/>
    <w:rsid w:val="00B828A2"/>
    <w:rsid w:val="00B851CF"/>
    <w:rsid w:val="00B85251"/>
    <w:rsid w:val="00B85CE4"/>
    <w:rsid w:val="00B86236"/>
    <w:rsid w:val="00B86D6E"/>
    <w:rsid w:val="00B906BD"/>
    <w:rsid w:val="00B93AFC"/>
    <w:rsid w:val="00B94B90"/>
    <w:rsid w:val="00B94E30"/>
    <w:rsid w:val="00B94F54"/>
    <w:rsid w:val="00B956D2"/>
    <w:rsid w:val="00B97EE3"/>
    <w:rsid w:val="00BA0278"/>
    <w:rsid w:val="00BA2C58"/>
    <w:rsid w:val="00BA3008"/>
    <w:rsid w:val="00BA50A6"/>
    <w:rsid w:val="00BA784A"/>
    <w:rsid w:val="00BB17E1"/>
    <w:rsid w:val="00BB3C96"/>
    <w:rsid w:val="00BB4195"/>
    <w:rsid w:val="00BB42CE"/>
    <w:rsid w:val="00BB52B0"/>
    <w:rsid w:val="00BB55FF"/>
    <w:rsid w:val="00BB5F7E"/>
    <w:rsid w:val="00BB60D6"/>
    <w:rsid w:val="00BC10D5"/>
    <w:rsid w:val="00BC143F"/>
    <w:rsid w:val="00BC2AD7"/>
    <w:rsid w:val="00BC2BCD"/>
    <w:rsid w:val="00BC30AD"/>
    <w:rsid w:val="00BC32DC"/>
    <w:rsid w:val="00BC3DF7"/>
    <w:rsid w:val="00BC6316"/>
    <w:rsid w:val="00BC7041"/>
    <w:rsid w:val="00BC7850"/>
    <w:rsid w:val="00BD02D0"/>
    <w:rsid w:val="00BD1DD6"/>
    <w:rsid w:val="00BD1E3F"/>
    <w:rsid w:val="00BD36DE"/>
    <w:rsid w:val="00BD4418"/>
    <w:rsid w:val="00BD6CF7"/>
    <w:rsid w:val="00BD7ABE"/>
    <w:rsid w:val="00BE24C2"/>
    <w:rsid w:val="00BE46A2"/>
    <w:rsid w:val="00BE48FD"/>
    <w:rsid w:val="00BE5DFD"/>
    <w:rsid w:val="00BE5F39"/>
    <w:rsid w:val="00BE6E7F"/>
    <w:rsid w:val="00BF0371"/>
    <w:rsid w:val="00BF140D"/>
    <w:rsid w:val="00BF1E77"/>
    <w:rsid w:val="00BF486D"/>
    <w:rsid w:val="00BF4BC2"/>
    <w:rsid w:val="00BF5541"/>
    <w:rsid w:val="00BF77AD"/>
    <w:rsid w:val="00BF7F04"/>
    <w:rsid w:val="00C0030C"/>
    <w:rsid w:val="00C00515"/>
    <w:rsid w:val="00C0539A"/>
    <w:rsid w:val="00C069CC"/>
    <w:rsid w:val="00C0745D"/>
    <w:rsid w:val="00C07E2A"/>
    <w:rsid w:val="00C105E0"/>
    <w:rsid w:val="00C106AD"/>
    <w:rsid w:val="00C11606"/>
    <w:rsid w:val="00C1181B"/>
    <w:rsid w:val="00C11E92"/>
    <w:rsid w:val="00C12154"/>
    <w:rsid w:val="00C12D4D"/>
    <w:rsid w:val="00C1443C"/>
    <w:rsid w:val="00C15260"/>
    <w:rsid w:val="00C16DF1"/>
    <w:rsid w:val="00C2171D"/>
    <w:rsid w:val="00C22CBF"/>
    <w:rsid w:val="00C2467D"/>
    <w:rsid w:val="00C24A4E"/>
    <w:rsid w:val="00C24BDB"/>
    <w:rsid w:val="00C25275"/>
    <w:rsid w:val="00C307F3"/>
    <w:rsid w:val="00C309BB"/>
    <w:rsid w:val="00C30D44"/>
    <w:rsid w:val="00C32726"/>
    <w:rsid w:val="00C34EE3"/>
    <w:rsid w:val="00C37546"/>
    <w:rsid w:val="00C37CD6"/>
    <w:rsid w:val="00C403DB"/>
    <w:rsid w:val="00C40FE2"/>
    <w:rsid w:val="00C44B83"/>
    <w:rsid w:val="00C466D8"/>
    <w:rsid w:val="00C511CE"/>
    <w:rsid w:val="00C53C54"/>
    <w:rsid w:val="00C54EE4"/>
    <w:rsid w:val="00C55219"/>
    <w:rsid w:val="00C560A4"/>
    <w:rsid w:val="00C56192"/>
    <w:rsid w:val="00C5620D"/>
    <w:rsid w:val="00C609D7"/>
    <w:rsid w:val="00C60B16"/>
    <w:rsid w:val="00C6358F"/>
    <w:rsid w:val="00C6404D"/>
    <w:rsid w:val="00C64103"/>
    <w:rsid w:val="00C648EC"/>
    <w:rsid w:val="00C65162"/>
    <w:rsid w:val="00C66148"/>
    <w:rsid w:val="00C66698"/>
    <w:rsid w:val="00C66F7C"/>
    <w:rsid w:val="00C674CF"/>
    <w:rsid w:val="00C701F9"/>
    <w:rsid w:val="00C70807"/>
    <w:rsid w:val="00C75689"/>
    <w:rsid w:val="00C7597D"/>
    <w:rsid w:val="00C76CB6"/>
    <w:rsid w:val="00C76FFA"/>
    <w:rsid w:val="00C82E6E"/>
    <w:rsid w:val="00C83286"/>
    <w:rsid w:val="00C8344D"/>
    <w:rsid w:val="00C83E9E"/>
    <w:rsid w:val="00C84200"/>
    <w:rsid w:val="00C842BA"/>
    <w:rsid w:val="00C84D1E"/>
    <w:rsid w:val="00C9195A"/>
    <w:rsid w:val="00C92023"/>
    <w:rsid w:val="00C93157"/>
    <w:rsid w:val="00C934BC"/>
    <w:rsid w:val="00C938CC"/>
    <w:rsid w:val="00C96151"/>
    <w:rsid w:val="00CA1143"/>
    <w:rsid w:val="00CA20EA"/>
    <w:rsid w:val="00CA4756"/>
    <w:rsid w:val="00CA49A6"/>
    <w:rsid w:val="00CB38EB"/>
    <w:rsid w:val="00CB42BD"/>
    <w:rsid w:val="00CB58D5"/>
    <w:rsid w:val="00CB66A6"/>
    <w:rsid w:val="00CB6D7E"/>
    <w:rsid w:val="00CB76D8"/>
    <w:rsid w:val="00CB7727"/>
    <w:rsid w:val="00CC276B"/>
    <w:rsid w:val="00CC4FBC"/>
    <w:rsid w:val="00CC53B1"/>
    <w:rsid w:val="00CC6E5E"/>
    <w:rsid w:val="00CC7A4E"/>
    <w:rsid w:val="00CD05D5"/>
    <w:rsid w:val="00CD327A"/>
    <w:rsid w:val="00CD4668"/>
    <w:rsid w:val="00CD6E05"/>
    <w:rsid w:val="00CE02A2"/>
    <w:rsid w:val="00CE1255"/>
    <w:rsid w:val="00CE141B"/>
    <w:rsid w:val="00CE2268"/>
    <w:rsid w:val="00CE2357"/>
    <w:rsid w:val="00CE437E"/>
    <w:rsid w:val="00CE71C0"/>
    <w:rsid w:val="00CF3023"/>
    <w:rsid w:val="00CF56A9"/>
    <w:rsid w:val="00CF6EBC"/>
    <w:rsid w:val="00CF7333"/>
    <w:rsid w:val="00CF7860"/>
    <w:rsid w:val="00CF787E"/>
    <w:rsid w:val="00CF7E73"/>
    <w:rsid w:val="00D00344"/>
    <w:rsid w:val="00D003B8"/>
    <w:rsid w:val="00D01871"/>
    <w:rsid w:val="00D032F4"/>
    <w:rsid w:val="00D058EE"/>
    <w:rsid w:val="00D07907"/>
    <w:rsid w:val="00D07B6D"/>
    <w:rsid w:val="00D113F4"/>
    <w:rsid w:val="00D1335C"/>
    <w:rsid w:val="00D15295"/>
    <w:rsid w:val="00D15D9B"/>
    <w:rsid w:val="00D1669A"/>
    <w:rsid w:val="00D174B8"/>
    <w:rsid w:val="00D247F0"/>
    <w:rsid w:val="00D25118"/>
    <w:rsid w:val="00D2602D"/>
    <w:rsid w:val="00D27360"/>
    <w:rsid w:val="00D27C67"/>
    <w:rsid w:val="00D27E12"/>
    <w:rsid w:val="00D30F0E"/>
    <w:rsid w:val="00D31A19"/>
    <w:rsid w:val="00D3207B"/>
    <w:rsid w:val="00D334BA"/>
    <w:rsid w:val="00D33517"/>
    <w:rsid w:val="00D33A9A"/>
    <w:rsid w:val="00D33F56"/>
    <w:rsid w:val="00D34F66"/>
    <w:rsid w:val="00D35371"/>
    <w:rsid w:val="00D360FF"/>
    <w:rsid w:val="00D36A49"/>
    <w:rsid w:val="00D41E34"/>
    <w:rsid w:val="00D42542"/>
    <w:rsid w:val="00D425E5"/>
    <w:rsid w:val="00D43DD2"/>
    <w:rsid w:val="00D46DE3"/>
    <w:rsid w:val="00D551F5"/>
    <w:rsid w:val="00D55741"/>
    <w:rsid w:val="00D56686"/>
    <w:rsid w:val="00D632F0"/>
    <w:rsid w:val="00D6670A"/>
    <w:rsid w:val="00D71473"/>
    <w:rsid w:val="00D72671"/>
    <w:rsid w:val="00D7301B"/>
    <w:rsid w:val="00D74C4D"/>
    <w:rsid w:val="00D763EB"/>
    <w:rsid w:val="00D76F7A"/>
    <w:rsid w:val="00D81467"/>
    <w:rsid w:val="00D817AD"/>
    <w:rsid w:val="00D87403"/>
    <w:rsid w:val="00D9000A"/>
    <w:rsid w:val="00D90EC1"/>
    <w:rsid w:val="00D91442"/>
    <w:rsid w:val="00D922FB"/>
    <w:rsid w:val="00D929AB"/>
    <w:rsid w:val="00D930F2"/>
    <w:rsid w:val="00D932CD"/>
    <w:rsid w:val="00D94118"/>
    <w:rsid w:val="00D9468D"/>
    <w:rsid w:val="00D96AFD"/>
    <w:rsid w:val="00D9796A"/>
    <w:rsid w:val="00DA3C1F"/>
    <w:rsid w:val="00DA3DAF"/>
    <w:rsid w:val="00DA53E1"/>
    <w:rsid w:val="00DA5E3E"/>
    <w:rsid w:val="00DA6FAB"/>
    <w:rsid w:val="00DB0AB5"/>
    <w:rsid w:val="00DB135F"/>
    <w:rsid w:val="00DB4C98"/>
    <w:rsid w:val="00DB7174"/>
    <w:rsid w:val="00DB754C"/>
    <w:rsid w:val="00DC0164"/>
    <w:rsid w:val="00DC0A96"/>
    <w:rsid w:val="00DC0DC4"/>
    <w:rsid w:val="00DC293D"/>
    <w:rsid w:val="00DC4549"/>
    <w:rsid w:val="00DC4635"/>
    <w:rsid w:val="00DC5F31"/>
    <w:rsid w:val="00DC7153"/>
    <w:rsid w:val="00DD07B9"/>
    <w:rsid w:val="00DD1400"/>
    <w:rsid w:val="00DD2E46"/>
    <w:rsid w:val="00DD3FF4"/>
    <w:rsid w:val="00DD4343"/>
    <w:rsid w:val="00DD5C90"/>
    <w:rsid w:val="00DE1F22"/>
    <w:rsid w:val="00DE2B7E"/>
    <w:rsid w:val="00DE583C"/>
    <w:rsid w:val="00DE5E3C"/>
    <w:rsid w:val="00DE6DCC"/>
    <w:rsid w:val="00DF087A"/>
    <w:rsid w:val="00DF10E1"/>
    <w:rsid w:val="00DF2247"/>
    <w:rsid w:val="00DF2CB8"/>
    <w:rsid w:val="00DF3EE9"/>
    <w:rsid w:val="00DF494C"/>
    <w:rsid w:val="00DF5288"/>
    <w:rsid w:val="00DF52F1"/>
    <w:rsid w:val="00DF53AB"/>
    <w:rsid w:val="00DF5578"/>
    <w:rsid w:val="00DF7D74"/>
    <w:rsid w:val="00E007F9"/>
    <w:rsid w:val="00E00909"/>
    <w:rsid w:val="00E01551"/>
    <w:rsid w:val="00E01864"/>
    <w:rsid w:val="00E01F5A"/>
    <w:rsid w:val="00E0221C"/>
    <w:rsid w:val="00E029A7"/>
    <w:rsid w:val="00E0454C"/>
    <w:rsid w:val="00E04C4A"/>
    <w:rsid w:val="00E054FB"/>
    <w:rsid w:val="00E057D4"/>
    <w:rsid w:val="00E06DCE"/>
    <w:rsid w:val="00E108A2"/>
    <w:rsid w:val="00E10EA1"/>
    <w:rsid w:val="00E11545"/>
    <w:rsid w:val="00E1158E"/>
    <w:rsid w:val="00E117AD"/>
    <w:rsid w:val="00E13E97"/>
    <w:rsid w:val="00E1654B"/>
    <w:rsid w:val="00E1660E"/>
    <w:rsid w:val="00E16B97"/>
    <w:rsid w:val="00E1752F"/>
    <w:rsid w:val="00E20062"/>
    <w:rsid w:val="00E211CF"/>
    <w:rsid w:val="00E21CB6"/>
    <w:rsid w:val="00E22F33"/>
    <w:rsid w:val="00E23929"/>
    <w:rsid w:val="00E259B6"/>
    <w:rsid w:val="00E25C98"/>
    <w:rsid w:val="00E27EE1"/>
    <w:rsid w:val="00E304D9"/>
    <w:rsid w:val="00E3253B"/>
    <w:rsid w:val="00E32728"/>
    <w:rsid w:val="00E33A9B"/>
    <w:rsid w:val="00E37BDF"/>
    <w:rsid w:val="00E406C0"/>
    <w:rsid w:val="00E41245"/>
    <w:rsid w:val="00E41C5E"/>
    <w:rsid w:val="00E420A6"/>
    <w:rsid w:val="00E42D7F"/>
    <w:rsid w:val="00E50844"/>
    <w:rsid w:val="00E51694"/>
    <w:rsid w:val="00E5170D"/>
    <w:rsid w:val="00E55F51"/>
    <w:rsid w:val="00E5628E"/>
    <w:rsid w:val="00E57E45"/>
    <w:rsid w:val="00E61F2F"/>
    <w:rsid w:val="00E620AD"/>
    <w:rsid w:val="00E65052"/>
    <w:rsid w:val="00E670EF"/>
    <w:rsid w:val="00E72C82"/>
    <w:rsid w:val="00E84D62"/>
    <w:rsid w:val="00E92AD0"/>
    <w:rsid w:val="00E9364B"/>
    <w:rsid w:val="00E93F33"/>
    <w:rsid w:val="00E94E27"/>
    <w:rsid w:val="00E95717"/>
    <w:rsid w:val="00E97016"/>
    <w:rsid w:val="00EA03C3"/>
    <w:rsid w:val="00EA05E9"/>
    <w:rsid w:val="00EA20B1"/>
    <w:rsid w:val="00EA2889"/>
    <w:rsid w:val="00EA4226"/>
    <w:rsid w:val="00EA67C8"/>
    <w:rsid w:val="00EB07AB"/>
    <w:rsid w:val="00EB3B63"/>
    <w:rsid w:val="00EB406A"/>
    <w:rsid w:val="00EB543E"/>
    <w:rsid w:val="00EB7F74"/>
    <w:rsid w:val="00EC07B9"/>
    <w:rsid w:val="00EC1269"/>
    <w:rsid w:val="00EC2897"/>
    <w:rsid w:val="00EC30E3"/>
    <w:rsid w:val="00EC5483"/>
    <w:rsid w:val="00EC554E"/>
    <w:rsid w:val="00EC6314"/>
    <w:rsid w:val="00EC6632"/>
    <w:rsid w:val="00ED07B9"/>
    <w:rsid w:val="00ED1E2A"/>
    <w:rsid w:val="00ED2AEC"/>
    <w:rsid w:val="00ED2C44"/>
    <w:rsid w:val="00ED35C0"/>
    <w:rsid w:val="00ED4AC3"/>
    <w:rsid w:val="00ED6F4B"/>
    <w:rsid w:val="00ED7212"/>
    <w:rsid w:val="00ED7D75"/>
    <w:rsid w:val="00EE1236"/>
    <w:rsid w:val="00EE18EB"/>
    <w:rsid w:val="00EE2B72"/>
    <w:rsid w:val="00EE2F4C"/>
    <w:rsid w:val="00EE51FC"/>
    <w:rsid w:val="00EE715E"/>
    <w:rsid w:val="00EE75AB"/>
    <w:rsid w:val="00EE78EA"/>
    <w:rsid w:val="00EF0D68"/>
    <w:rsid w:val="00EF1D0C"/>
    <w:rsid w:val="00EF28B5"/>
    <w:rsid w:val="00EF5D5E"/>
    <w:rsid w:val="00EF6455"/>
    <w:rsid w:val="00EF64EB"/>
    <w:rsid w:val="00EF6568"/>
    <w:rsid w:val="00EF7423"/>
    <w:rsid w:val="00EF7D8F"/>
    <w:rsid w:val="00F0059A"/>
    <w:rsid w:val="00F00EC7"/>
    <w:rsid w:val="00F03174"/>
    <w:rsid w:val="00F05F71"/>
    <w:rsid w:val="00F06F41"/>
    <w:rsid w:val="00F11982"/>
    <w:rsid w:val="00F13DEA"/>
    <w:rsid w:val="00F141C3"/>
    <w:rsid w:val="00F14786"/>
    <w:rsid w:val="00F14E8E"/>
    <w:rsid w:val="00F1652B"/>
    <w:rsid w:val="00F17662"/>
    <w:rsid w:val="00F20EF9"/>
    <w:rsid w:val="00F21721"/>
    <w:rsid w:val="00F235CF"/>
    <w:rsid w:val="00F23D75"/>
    <w:rsid w:val="00F2573A"/>
    <w:rsid w:val="00F25D31"/>
    <w:rsid w:val="00F27174"/>
    <w:rsid w:val="00F32A0B"/>
    <w:rsid w:val="00F33112"/>
    <w:rsid w:val="00F34CEF"/>
    <w:rsid w:val="00F37B00"/>
    <w:rsid w:val="00F4069B"/>
    <w:rsid w:val="00F46D5E"/>
    <w:rsid w:val="00F51C57"/>
    <w:rsid w:val="00F527FF"/>
    <w:rsid w:val="00F52D61"/>
    <w:rsid w:val="00F53E35"/>
    <w:rsid w:val="00F5544E"/>
    <w:rsid w:val="00F577AF"/>
    <w:rsid w:val="00F6077A"/>
    <w:rsid w:val="00F6354D"/>
    <w:rsid w:val="00F63D9A"/>
    <w:rsid w:val="00F658C5"/>
    <w:rsid w:val="00F65AE2"/>
    <w:rsid w:val="00F66167"/>
    <w:rsid w:val="00F67346"/>
    <w:rsid w:val="00F70D59"/>
    <w:rsid w:val="00F734FF"/>
    <w:rsid w:val="00F73BE8"/>
    <w:rsid w:val="00F74CE1"/>
    <w:rsid w:val="00F74F3A"/>
    <w:rsid w:val="00F756D0"/>
    <w:rsid w:val="00F7587B"/>
    <w:rsid w:val="00F75C4E"/>
    <w:rsid w:val="00F767C8"/>
    <w:rsid w:val="00F81DBD"/>
    <w:rsid w:val="00F82663"/>
    <w:rsid w:val="00F82A60"/>
    <w:rsid w:val="00F831C1"/>
    <w:rsid w:val="00F855E6"/>
    <w:rsid w:val="00F85D49"/>
    <w:rsid w:val="00F90239"/>
    <w:rsid w:val="00F90F34"/>
    <w:rsid w:val="00F922F1"/>
    <w:rsid w:val="00F92A3A"/>
    <w:rsid w:val="00F92A6A"/>
    <w:rsid w:val="00F944BF"/>
    <w:rsid w:val="00F96138"/>
    <w:rsid w:val="00F979A6"/>
    <w:rsid w:val="00FA344D"/>
    <w:rsid w:val="00FA372D"/>
    <w:rsid w:val="00FA6703"/>
    <w:rsid w:val="00FB12F4"/>
    <w:rsid w:val="00FB1AE2"/>
    <w:rsid w:val="00FB3EFA"/>
    <w:rsid w:val="00FB508D"/>
    <w:rsid w:val="00FB6690"/>
    <w:rsid w:val="00FB72B8"/>
    <w:rsid w:val="00FB7371"/>
    <w:rsid w:val="00FB749F"/>
    <w:rsid w:val="00FB7C55"/>
    <w:rsid w:val="00FC0090"/>
    <w:rsid w:val="00FC021B"/>
    <w:rsid w:val="00FC07F2"/>
    <w:rsid w:val="00FC098C"/>
    <w:rsid w:val="00FC0A11"/>
    <w:rsid w:val="00FC10F1"/>
    <w:rsid w:val="00FC38D7"/>
    <w:rsid w:val="00FC4976"/>
    <w:rsid w:val="00FC5B29"/>
    <w:rsid w:val="00FC6CA0"/>
    <w:rsid w:val="00FC742D"/>
    <w:rsid w:val="00FD0B85"/>
    <w:rsid w:val="00FD1251"/>
    <w:rsid w:val="00FD3273"/>
    <w:rsid w:val="00FD4C68"/>
    <w:rsid w:val="00FD66AC"/>
    <w:rsid w:val="00FE2393"/>
    <w:rsid w:val="00FE2C74"/>
    <w:rsid w:val="00FE329A"/>
    <w:rsid w:val="00FE48E1"/>
    <w:rsid w:val="00FE5198"/>
    <w:rsid w:val="00FE5A2D"/>
    <w:rsid w:val="00FE6700"/>
    <w:rsid w:val="00FF1490"/>
    <w:rsid w:val="00FF21A2"/>
    <w:rsid w:val="00FF2385"/>
    <w:rsid w:val="00FF4AE4"/>
    <w:rsid w:val="00FF505A"/>
    <w:rsid w:val="00FF60C8"/>
    <w:rsid w:val="00FF6327"/>
    <w:rsid w:val="01EB7CFF"/>
    <w:rsid w:val="024A3CE3"/>
    <w:rsid w:val="024B083C"/>
    <w:rsid w:val="026305F6"/>
    <w:rsid w:val="02B31A5D"/>
    <w:rsid w:val="02EB4148"/>
    <w:rsid w:val="034336B8"/>
    <w:rsid w:val="03922815"/>
    <w:rsid w:val="03CA1FAF"/>
    <w:rsid w:val="03E40B1B"/>
    <w:rsid w:val="03EA08A3"/>
    <w:rsid w:val="03FC658C"/>
    <w:rsid w:val="04151F19"/>
    <w:rsid w:val="041E284B"/>
    <w:rsid w:val="04246F2A"/>
    <w:rsid w:val="06326665"/>
    <w:rsid w:val="06436049"/>
    <w:rsid w:val="06A1149A"/>
    <w:rsid w:val="06C57B04"/>
    <w:rsid w:val="06F21F49"/>
    <w:rsid w:val="07153E89"/>
    <w:rsid w:val="072B7208"/>
    <w:rsid w:val="07637028"/>
    <w:rsid w:val="07A034D1"/>
    <w:rsid w:val="07F004BC"/>
    <w:rsid w:val="08485B98"/>
    <w:rsid w:val="086D4303"/>
    <w:rsid w:val="0919606C"/>
    <w:rsid w:val="092263E9"/>
    <w:rsid w:val="09641DEE"/>
    <w:rsid w:val="0A2E773B"/>
    <w:rsid w:val="0A5635B5"/>
    <w:rsid w:val="0A587B4A"/>
    <w:rsid w:val="0A652A31"/>
    <w:rsid w:val="0A9E5F43"/>
    <w:rsid w:val="0AB755E9"/>
    <w:rsid w:val="0B5459A6"/>
    <w:rsid w:val="0BAF16F1"/>
    <w:rsid w:val="0BCE171B"/>
    <w:rsid w:val="0BF422BF"/>
    <w:rsid w:val="0C006EB6"/>
    <w:rsid w:val="0C1464BD"/>
    <w:rsid w:val="0C5A048F"/>
    <w:rsid w:val="0CDF2F6F"/>
    <w:rsid w:val="0CEE31B2"/>
    <w:rsid w:val="0CF54541"/>
    <w:rsid w:val="0D4440E5"/>
    <w:rsid w:val="0D4E3C51"/>
    <w:rsid w:val="0DDC74AE"/>
    <w:rsid w:val="0E0F26EE"/>
    <w:rsid w:val="0E13321E"/>
    <w:rsid w:val="0E60025F"/>
    <w:rsid w:val="0E983EBE"/>
    <w:rsid w:val="0EC35F79"/>
    <w:rsid w:val="0EF45918"/>
    <w:rsid w:val="0F022F45"/>
    <w:rsid w:val="0F971892"/>
    <w:rsid w:val="11186A50"/>
    <w:rsid w:val="1283439D"/>
    <w:rsid w:val="12AE231F"/>
    <w:rsid w:val="12DA1AE3"/>
    <w:rsid w:val="135B70C7"/>
    <w:rsid w:val="136B6D55"/>
    <w:rsid w:val="136C3083"/>
    <w:rsid w:val="148A1ADB"/>
    <w:rsid w:val="14BD52EE"/>
    <w:rsid w:val="14BF5335"/>
    <w:rsid w:val="14E65063"/>
    <w:rsid w:val="14FB2C15"/>
    <w:rsid w:val="151B08BC"/>
    <w:rsid w:val="15282FD9"/>
    <w:rsid w:val="15470516"/>
    <w:rsid w:val="155344FA"/>
    <w:rsid w:val="15834B0E"/>
    <w:rsid w:val="1686445B"/>
    <w:rsid w:val="16BA4105"/>
    <w:rsid w:val="16E83DBA"/>
    <w:rsid w:val="16FA2753"/>
    <w:rsid w:val="17700C3F"/>
    <w:rsid w:val="17950267"/>
    <w:rsid w:val="17A33630"/>
    <w:rsid w:val="17D53F67"/>
    <w:rsid w:val="17F12DC8"/>
    <w:rsid w:val="186C142F"/>
    <w:rsid w:val="18C80D5B"/>
    <w:rsid w:val="193A32DB"/>
    <w:rsid w:val="198F7ACB"/>
    <w:rsid w:val="19B15CAF"/>
    <w:rsid w:val="19C9750C"/>
    <w:rsid w:val="1A705206"/>
    <w:rsid w:val="1A8A3A1C"/>
    <w:rsid w:val="1B4C6CB1"/>
    <w:rsid w:val="1BDA3ECC"/>
    <w:rsid w:val="1C0F6CA1"/>
    <w:rsid w:val="1C283FC7"/>
    <w:rsid w:val="1C4032FE"/>
    <w:rsid w:val="1C4860CA"/>
    <w:rsid w:val="1D366777"/>
    <w:rsid w:val="1D3A5FA0"/>
    <w:rsid w:val="1D6447C7"/>
    <w:rsid w:val="1D674D74"/>
    <w:rsid w:val="1DAF1F20"/>
    <w:rsid w:val="1DB16262"/>
    <w:rsid w:val="1DED54B8"/>
    <w:rsid w:val="1DF32B31"/>
    <w:rsid w:val="1E6C03DB"/>
    <w:rsid w:val="1F664E2A"/>
    <w:rsid w:val="1FD82F79"/>
    <w:rsid w:val="1FE63614"/>
    <w:rsid w:val="20116EAC"/>
    <w:rsid w:val="208D55C2"/>
    <w:rsid w:val="21154D5A"/>
    <w:rsid w:val="216929AF"/>
    <w:rsid w:val="2226576D"/>
    <w:rsid w:val="224F5010"/>
    <w:rsid w:val="228026A7"/>
    <w:rsid w:val="22834DFB"/>
    <w:rsid w:val="22DA60FF"/>
    <w:rsid w:val="231F124F"/>
    <w:rsid w:val="23775858"/>
    <w:rsid w:val="23BF4B9C"/>
    <w:rsid w:val="23FE7D27"/>
    <w:rsid w:val="24383F19"/>
    <w:rsid w:val="24651B54"/>
    <w:rsid w:val="246D5E1B"/>
    <w:rsid w:val="247973AD"/>
    <w:rsid w:val="24F627AC"/>
    <w:rsid w:val="25E940BF"/>
    <w:rsid w:val="25EC492B"/>
    <w:rsid w:val="267067B3"/>
    <w:rsid w:val="27181529"/>
    <w:rsid w:val="273711FC"/>
    <w:rsid w:val="27496B31"/>
    <w:rsid w:val="28781E8C"/>
    <w:rsid w:val="28924EE2"/>
    <w:rsid w:val="28A1660B"/>
    <w:rsid w:val="28AC26E7"/>
    <w:rsid w:val="28EA6ACC"/>
    <w:rsid w:val="2A0A598A"/>
    <w:rsid w:val="2A3B4B7A"/>
    <w:rsid w:val="2A720B27"/>
    <w:rsid w:val="2A862824"/>
    <w:rsid w:val="2AB32EED"/>
    <w:rsid w:val="2C1005F7"/>
    <w:rsid w:val="2C5734B4"/>
    <w:rsid w:val="2C714E0E"/>
    <w:rsid w:val="2D1F12BC"/>
    <w:rsid w:val="2D7E0AFA"/>
    <w:rsid w:val="2DCD42C6"/>
    <w:rsid w:val="2DF33D2D"/>
    <w:rsid w:val="2E450300"/>
    <w:rsid w:val="2E984B82"/>
    <w:rsid w:val="2ED973C6"/>
    <w:rsid w:val="2EDC2A13"/>
    <w:rsid w:val="2F2B2ABE"/>
    <w:rsid w:val="2F911EBE"/>
    <w:rsid w:val="2F9C21A2"/>
    <w:rsid w:val="2FB41C2D"/>
    <w:rsid w:val="2FC0398C"/>
    <w:rsid w:val="30110DE2"/>
    <w:rsid w:val="30CB2D3F"/>
    <w:rsid w:val="30E7375B"/>
    <w:rsid w:val="31DB30FB"/>
    <w:rsid w:val="31E5159C"/>
    <w:rsid w:val="322841C1"/>
    <w:rsid w:val="324F1DCD"/>
    <w:rsid w:val="326A60CF"/>
    <w:rsid w:val="32A94C02"/>
    <w:rsid w:val="338C3812"/>
    <w:rsid w:val="33AA1331"/>
    <w:rsid w:val="33FB7DDF"/>
    <w:rsid w:val="341113B0"/>
    <w:rsid w:val="34327F5F"/>
    <w:rsid w:val="350F1D8C"/>
    <w:rsid w:val="35354830"/>
    <w:rsid w:val="35713A19"/>
    <w:rsid w:val="3579545F"/>
    <w:rsid w:val="35DA0C8F"/>
    <w:rsid w:val="35EB67D0"/>
    <w:rsid w:val="35F23DE3"/>
    <w:rsid w:val="36415851"/>
    <w:rsid w:val="36541A28"/>
    <w:rsid w:val="366B17C3"/>
    <w:rsid w:val="36F566A9"/>
    <w:rsid w:val="37016B5B"/>
    <w:rsid w:val="372E04CB"/>
    <w:rsid w:val="378A2E2C"/>
    <w:rsid w:val="37D671F0"/>
    <w:rsid w:val="37FE1C4C"/>
    <w:rsid w:val="382611A3"/>
    <w:rsid w:val="382B7962"/>
    <w:rsid w:val="38A12593"/>
    <w:rsid w:val="39082089"/>
    <w:rsid w:val="39273424"/>
    <w:rsid w:val="3927370A"/>
    <w:rsid w:val="39E92488"/>
    <w:rsid w:val="3A342760"/>
    <w:rsid w:val="3A8B52F3"/>
    <w:rsid w:val="3AB420CB"/>
    <w:rsid w:val="3AC32575"/>
    <w:rsid w:val="3AD11569"/>
    <w:rsid w:val="3B0A0908"/>
    <w:rsid w:val="3B351E28"/>
    <w:rsid w:val="3B521418"/>
    <w:rsid w:val="3B7825AF"/>
    <w:rsid w:val="3BD027BC"/>
    <w:rsid w:val="3BEB698B"/>
    <w:rsid w:val="3BED44B1"/>
    <w:rsid w:val="3C1E37D7"/>
    <w:rsid w:val="3C892945"/>
    <w:rsid w:val="3D0E114B"/>
    <w:rsid w:val="3D30614B"/>
    <w:rsid w:val="3D474095"/>
    <w:rsid w:val="3D5F2F36"/>
    <w:rsid w:val="3D7623BC"/>
    <w:rsid w:val="3DFB0446"/>
    <w:rsid w:val="3E99447C"/>
    <w:rsid w:val="3EAD43CC"/>
    <w:rsid w:val="3EB47508"/>
    <w:rsid w:val="3F095C83"/>
    <w:rsid w:val="3F0A537A"/>
    <w:rsid w:val="3F8C5D8F"/>
    <w:rsid w:val="3FD85478"/>
    <w:rsid w:val="40073668"/>
    <w:rsid w:val="407209E5"/>
    <w:rsid w:val="40C96B6F"/>
    <w:rsid w:val="4134048C"/>
    <w:rsid w:val="41D63C39"/>
    <w:rsid w:val="424A20C3"/>
    <w:rsid w:val="427F5525"/>
    <w:rsid w:val="42BE2C62"/>
    <w:rsid w:val="42DD58BF"/>
    <w:rsid w:val="4303280C"/>
    <w:rsid w:val="431224B7"/>
    <w:rsid w:val="43455087"/>
    <w:rsid w:val="435D7484"/>
    <w:rsid w:val="43A248B6"/>
    <w:rsid w:val="43E837B0"/>
    <w:rsid w:val="4464552C"/>
    <w:rsid w:val="4484172B"/>
    <w:rsid w:val="44CC3B07"/>
    <w:rsid w:val="44F06B07"/>
    <w:rsid w:val="44F15CAC"/>
    <w:rsid w:val="462C4C1D"/>
    <w:rsid w:val="462D1B56"/>
    <w:rsid w:val="468B4FF2"/>
    <w:rsid w:val="46C04C97"/>
    <w:rsid w:val="46C81A09"/>
    <w:rsid w:val="475C698F"/>
    <w:rsid w:val="477E792B"/>
    <w:rsid w:val="478B4B7E"/>
    <w:rsid w:val="479D7691"/>
    <w:rsid w:val="47C4321A"/>
    <w:rsid w:val="47F659E4"/>
    <w:rsid w:val="48284AC3"/>
    <w:rsid w:val="49010CA4"/>
    <w:rsid w:val="495042D1"/>
    <w:rsid w:val="49731D6E"/>
    <w:rsid w:val="49940662"/>
    <w:rsid w:val="49D722FD"/>
    <w:rsid w:val="49F96717"/>
    <w:rsid w:val="4A1B668D"/>
    <w:rsid w:val="4A317C5F"/>
    <w:rsid w:val="4A367DAE"/>
    <w:rsid w:val="4AB366C3"/>
    <w:rsid w:val="4B8B339F"/>
    <w:rsid w:val="4C516396"/>
    <w:rsid w:val="4C5B5467"/>
    <w:rsid w:val="4CC10C80"/>
    <w:rsid w:val="4D6245D3"/>
    <w:rsid w:val="4DC25684"/>
    <w:rsid w:val="4DE866C0"/>
    <w:rsid w:val="4E013A5B"/>
    <w:rsid w:val="4E946A0E"/>
    <w:rsid w:val="4EF120B3"/>
    <w:rsid w:val="4F6B3C13"/>
    <w:rsid w:val="505428F9"/>
    <w:rsid w:val="50B65213"/>
    <w:rsid w:val="51173336"/>
    <w:rsid w:val="518F2A51"/>
    <w:rsid w:val="51905E35"/>
    <w:rsid w:val="51CD2BBA"/>
    <w:rsid w:val="52036EEE"/>
    <w:rsid w:val="529214B7"/>
    <w:rsid w:val="529E3882"/>
    <w:rsid w:val="54040192"/>
    <w:rsid w:val="5408785A"/>
    <w:rsid w:val="540A4E77"/>
    <w:rsid w:val="54EF499E"/>
    <w:rsid w:val="55AA6650"/>
    <w:rsid w:val="56260894"/>
    <w:rsid w:val="5753390A"/>
    <w:rsid w:val="57596A47"/>
    <w:rsid w:val="57BA2F0D"/>
    <w:rsid w:val="57E84916"/>
    <w:rsid w:val="580C3AB9"/>
    <w:rsid w:val="59591079"/>
    <w:rsid w:val="59710078"/>
    <w:rsid w:val="59E6710B"/>
    <w:rsid w:val="5A026F22"/>
    <w:rsid w:val="5A421A14"/>
    <w:rsid w:val="5A517EA9"/>
    <w:rsid w:val="5A7E7CF5"/>
    <w:rsid w:val="5AB04BFC"/>
    <w:rsid w:val="5AB838C8"/>
    <w:rsid w:val="5B236B07"/>
    <w:rsid w:val="5B4F2965"/>
    <w:rsid w:val="5BB108D6"/>
    <w:rsid w:val="5BD62414"/>
    <w:rsid w:val="5BF44F90"/>
    <w:rsid w:val="5C180C7F"/>
    <w:rsid w:val="5C826630"/>
    <w:rsid w:val="5CF74D38"/>
    <w:rsid w:val="5D881E34"/>
    <w:rsid w:val="5DB0137F"/>
    <w:rsid w:val="5E0B49FF"/>
    <w:rsid w:val="5E7B54F5"/>
    <w:rsid w:val="5E893BBA"/>
    <w:rsid w:val="5E8C5954"/>
    <w:rsid w:val="5F6D4FA6"/>
    <w:rsid w:val="5F6F792F"/>
    <w:rsid w:val="5F9D0E81"/>
    <w:rsid w:val="5FA045E1"/>
    <w:rsid w:val="5FCA04E2"/>
    <w:rsid w:val="5FDB3264"/>
    <w:rsid w:val="5FE11ED3"/>
    <w:rsid w:val="6010567B"/>
    <w:rsid w:val="604F4E8B"/>
    <w:rsid w:val="60571547"/>
    <w:rsid w:val="60BC593C"/>
    <w:rsid w:val="60D7283C"/>
    <w:rsid w:val="61D513C0"/>
    <w:rsid w:val="61DC68A4"/>
    <w:rsid w:val="62EF64B1"/>
    <w:rsid w:val="63065CD5"/>
    <w:rsid w:val="63556314"/>
    <w:rsid w:val="637E52E4"/>
    <w:rsid w:val="6401649C"/>
    <w:rsid w:val="643541D2"/>
    <w:rsid w:val="647635E8"/>
    <w:rsid w:val="64A323B3"/>
    <w:rsid w:val="655F1D17"/>
    <w:rsid w:val="65607367"/>
    <w:rsid w:val="659A2AB0"/>
    <w:rsid w:val="65E92961"/>
    <w:rsid w:val="65F40DEE"/>
    <w:rsid w:val="664366C4"/>
    <w:rsid w:val="66932A52"/>
    <w:rsid w:val="669E2315"/>
    <w:rsid w:val="66B96443"/>
    <w:rsid w:val="670E25DC"/>
    <w:rsid w:val="67136D1B"/>
    <w:rsid w:val="67AB7ADE"/>
    <w:rsid w:val="67D57A24"/>
    <w:rsid w:val="681306CB"/>
    <w:rsid w:val="68E72104"/>
    <w:rsid w:val="696B6C9C"/>
    <w:rsid w:val="6970120C"/>
    <w:rsid w:val="69B42D47"/>
    <w:rsid w:val="69D34437"/>
    <w:rsid w:val="6A026ACA"/>
    <w:rsid w:val="6A334E59"/>
    <w:rsid w:val="6A5A4B58"/>
    <w:rsid w:val="6ABC4ECB"/>
    <w:rsid w:val="6B0E014E"/>
    <w:rsid w:val="6BAE0B4D"/>
    <w:rsid w:val="6C422059"/>
    <w:rsid w:val="6C691082"/>
    <w:rsid w:val="6D2D3E5E"/>
    <w:rsid w:val="6DA640FF"/>
    <w:rsid w:val="6DFB5D0A"/>
    <w:rsid w:val="6E874588"/>
    <w:rsid w:val="6E892D00"/>
    <w:rsid w:val="6E91041D"/>
    <w:rsid w:val="6EFA263C"/>
    <w:rsid w:val="6F4B2CDA"/>
    <w:rsid w:val="6F60051B"/>
    <w:rsid w:val="6FA7439C"/>
    <w:rsid w:val="6FD404FE"/>
    <w:rsid w:val="70226C67"/>
    <w:rsid w:val="70561291"/>
    <w:rsid w:val="70B8015F"/>
    <w:rsid w:val="711F4406"/>
    <w:rsid w:val="71473FB4"/>
    <w:rsid w:val="714B4A4B"/>
    <w:rsid w:val="7150636D"/>
    <w:rsid w:val="719B7F30"/>
    <w:rsid w:val="71C00419"/>
    <w:rsid w:val="71D074AE"/>
    <w:rsid w:val="725B43FC"/>
    <w:rsid w:val="7282470B"/>
    <w:rsid w:val="730D506C"/>
    <w:rsid w:val="736B748E"/>
    <w:rsid w:val="73C0637B"/>
    <w:rsid w:val="74381A66"/>
    <w:rsid w:val="74512B28"/>
    <w:rsid w:val="74865FC6"/>
    <w:rsid w:val="74E67714"/>
    <w:rsid w:val="756C5709"/>
    <w:rsid w:val="75840CDB"/>
    <w:rsid w:val="75BA294F"/>
    <w:rsid w:val="76C5265A"/>
    <w:rsid w:val="76D87530"/>
    <w:rsid w:val="76E45030"/>
    <w:rsid w:val="77112A42"/>
    <w:rsid w:val="772E6A53"/>
    <w:rsid w:val="77364257"/>
    <w:rsid w:val="77AD4E19"/>
    <w:rsid w:val="77E97A89"/>
    <w:rsid w:val="780F6F82"/>
    <w:rsid w:val="792213E1"/>
    <w:rsid w:val="792D64F4"/>
    <w:rsid w:val="79B17BC5"/>
    <w:rsid w:val="79C25500"/>
    <w:rsid w:val="7A6B1A7D"/>
    <w:rsid w:val="7AED30F2"/>
    <w:rsid w:val="7B590514"/>
    <w:rsid w:val="7B722655"/>
    <w:rsid w:val="7BAB6AAA"/>
    <w:rsid w:val="7C5036C5"/>
    <w:rsid w:val="7CBB0899"/>
    <w:rsid w:val="7CD824D6"/>
    <w:rsid w:val="7CFE6DE4"/>
    <w:rsid w:val="7DBD4D8A"/>
    <w:rsid w:val="7DC1127E"/>
    <w:rsid w:val="7E176B90"/>
    <w:rsid w:val="7EB86E2D"/>
    <w:rsid w:val="7ED52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8"/>
    <w:qFormat/>
    <w:uiPriority w:val="9"/>
    <w:pPr>
      <w:keepNext/>
      <w:keepLines/>
      <w:spacing w:before="480" w:after="80" w:line="587" w:lineRule="exact"/>
      <w:ind w:firstLine="200" w:firstLineChars="200"/>
      <w:outlineLvl w:val="0"/>
    </w:pPr>
    <w:rPr>
      <w:rFonts w:asciiTheme="majorHAnsi" w:hAnsiTheme="majorHAnsi" w:eastAsiaTheme="majorEastAsia" w:cstheme="majorBidi"/>
      <w:color w:val="2F5597" w:themeColor="accent1" w:themeShade="BF"/>
      <w:sz w:val="48"/>
      <w:szCs w:val="48"/>
      <w14:ligatures w14:val="standardContextual"/>
    </w:rPr>
  </w:style>
  <w:style w:type="paragraph" w:styleId="3">
    <w:name w:val="heading 2"/>
    <w:basedOn w:val="1"/>
    <w:next w:val="1"/>
    <w:link w:val="49"/>
    <w:semiHidden/>
    <w:unhideWhenUsed/>
    <w:qFormat/>
    <w:uiPriority w:val="9"/>
    <w:pPr>
      <w:keepNext/>
      <w:keepLines/>
      <w:spacing w:before="160" w:after="80" w:line="587" w:lineRule="exact"/>
      <w:ind w:firstLine="200" w:firstLineChars="200"/>
      <w:outlineLvl w:val="1"/>
    </w:pPr>
    <w:rPr>
      <w:rFonts w:asciiTheme="majorHAnsi" w:hAnsiTheme="majorHAnsi" w:eastAsiaTheme="majorEastAsia" w:cstheme="majorBidi"/>
      <w:color w:val="2F5597" w:themeColor="accent1" w:themeShade="BF"/>
      <w:sz w:val="40"/>
      <w:szCs w:val="40"/>
      <w14:ligatures w14:val="standardContextual"/>
    </w:rPr>
  </w:style>
  <w:style w:type="paragraph" w:styleId="4">
    <w:name w:val="heading 3"/>
    <w:basedOn w:val="1"/>
    <w:next w:val="1"/>
    <w:link w:val="50"/>
    <w:semiHidden/>
    <w:unhideWhenUsed/>
    <w:qFormat/>
    <w:uiPriority w:val="9"/>
    <w:pPr>
      <w:keepNext/>
      <w:keepLines/>
      <w:spacing w:before="160" w:after="80" w:line="587" w:lineRule="exact"/>
      <w:ind w:firstLine="200" w:firstLineChars="200"/>
      <w:outlineLvl w:val="2"/>
    </w:pPr>
    <w:rPr>
      <w:rFonts w:asciiTheme="majorHAnsi" w:hAnsiTheme="majorHAnsi" w:eastAsiaTheme="majorEastAsia" w:cstheme="majorBidi"/>
      <w:color w:val="2F5597" w:themeColor="accent1" w:themeShade="BF"/>
      <w:sz w:val="32"/>
      <w:szCs w:val="32"/>
      <w14:ligatures w14:val="standardContextual"/>
    </w:rPr>
  </w:style>
  <w:style w:type="paragraph" w:styleId="5">
    <w:name w:val="heading 4"/>
    <w:basedOn w:val="1"/>
    <w:next w:val="1"/>
    <w:link w:val="51"/>
    <w:semiHidden/>
    <w:unhideWhenUsed/>
    <w:qFormat/>
    <w:uiPriority w:val="9"/>
    <w:pPr>
      <w:keepNext/>
      <w:keepLines/>
      <w:spacing w:before="80" w:after="40" w:line="587" w:lineRule="exact"/>
      <w:ind w:firstLine="200" w:firstLineChars="200"/>
      <w:outlineLvl w:val="3"/>
    </w:pPr>
    <w:rPr>
      <w:rFonts w:cstheme="majorBidi"/>
      <w:color w:val="2F5597" w:themeColor="accent1" w:themeShade="BF"/>
      <w:sz w:val="28"/>
      <w:szCs w:val="28"/>
      <w14:ligatures w14:val="standardContextual"/>
    </w:rPr>
  </w:style>
  <w:style w:type="paragraph" w:styleId="6">
    <w:name w:val="heading 5"/>
    <w:basedOn w:val="1"/>
    <w:next w:val="1"/>
    <w:link w:val="52"/>
    <w:semiHidden/>
    <w:unhideWhenUsed/>
    <w:qFormat/>
    <w:uiPriority w:val="9"/>
    <w:pPr>
      <w:keepNext/>
      <w:keepLines/>
      <w:spacing w:before="80" w:after="40" w:line="587" w:lineRule="exact"/>
      <w:ind w:firstLine="200" w:firstLineChars="200"/>
      <w:outlineLvl w:val="4"/>
    </w:pPr>
    <w:rPr>
      <w:rFonts w:cstheme="majorBidi"/>
      <w:color w:val="2F5597" w:themeColor="accent1" w:themeShade="BF"/>
      <w:sz w:val="24"/>
      <w14:ligatures w14:val="standardContextual"/>
    </w:rPr>
  </w:style>
  <w:style w:type="paragraph" w:styleId="7">
    <w:name w:val="heading 6"/>
    <w:basedOn w:val="1"/>
    <w:next w:val="1"/>
    <w:link w:val="53"/>
    <w:semiHidden/>
    <w:unhideWhenUsed/>
    <w:qFormat/>
    <w:uiPriority w:val="9"/>
    <w:pPr>
      <w:keepNext/>
      <w:keepLines/>
      <w:spacing w:before="40" w:line="587" w:lineRule="exact"/>
      <w:ind w:firstLine="200" w:firstLineChars="200"/>
      <w:outlineLvl w:val="5"/>
    </w:pPr>
    <w:rPr>
      <w:rFonts w:cstheme="majorBidi"/>
      <w:b/>
      <w:bCs/>
      <w:color w:val="2F5597" w:themeColor="accent1" w:themeShade="BF"/>
      <w:sz w:val="32"/>
      <w:szCs w:val="22"/>
      <w14:ligatures w14:val="standardContextual"/>
    </w:rPr>
  </w:style>
  <w:style w:type="paragraph" w:styleId="8">
    <w:name w:val="heading 7"/>
    <w:basedOn w:val="1"/>
    <w:next w:val="1"/>
    <w:link w:val="54"/>
    <w:semiHidden/>
    <w:unhideWhenUsed/>
    <w:qFormat/>
    <w:uiPriority w:val="9"/>
    <w:pPr>
      <w:keepNext/>
      <w:keepLines/>
      <w:spacing w:before="40" w:line="587" w:lineRule="exact"/>
      <w:ind w:firstLine="200" w:firstLineChars="200"/>
      <w:outlineLvl w:val="6"/>
    </w:pPr>
    <w:rPr>
      <w:rFonts w:cstheme="majorBidi"/>
      <w:b/>
      <w:bCs/>
      <w:color w:val="595959" w:themeColor="text1" w:themeTint="A6"/>
      <w:sz w:val="32"/>
      <w:szCs w:val="22"/>
      <w14:textFill>
        <w14:solidFill>
          <w14:schemeClr w14:val="tx1">
            <w14:lumMod w14:val="65000"/>
            <w14:lumOff w14:val="35000"/>
          </w14:schemeClr>
        </w14:solidFill>
      </w14:textFill>
      <w14:ligatures w14:val="standardContextual"/>
    </w:rPr>
  </w:style>
  <w:style w:type="paragraph" w:styleId="9">
    <w:name w:val="heading 8"/>
    <w:basedOn w:val="1"/>
    <w:next w:val="1"/>
    <w:link w:val="55"/>
    <w:semiHidden/>
    <w:unhideWhenUsed/>
    <w:qFormat/>
    <w:uiPriority w:val="9"/>
    <w:pPr>
      <w:keepNext/>
      <w:keepLines/>
      <w:spacing w:line="587" w:lineRule="exact"/>
      <w:ind w:firstLine="200" w:firstLineChars="200"/>
      <w:outlineLvl w:val="7"/>
    </w:pPr>
    <w:rPr>
      <w:rFonts w:cstheme="majorBidi"/>
      <w:color w:val="595959" w:themeColor="text1" w:themeTint="A6"/>
      <w:sz w:val="32"/>
      <w:szCs w:val="22"/>
      <w14:textFill>
        <w14:solidFill>
          <w14:schemeClr w14:val="tx1">
            <w14:lumMod w14:val="65000"/>
            <w14:lumOff w14:val="35000"/>
          </w14:schemeClr>
        </w14:solidFill>
      </w14:textFill>
      <w14:ligatures w14:val="standardContextual"/>
    </w:rPr>
  </w:style>
  <w:style w:type="paragraph" w:styleId="10">
    <w:name w:val="heading 9"/>
    <w:basedOn w:val="1"/>
    <w:next w:val="1"/>
    <w:link w:val="56"/>
    <w:semiHidden/>
    <w:unhideWhenUsed/>
    <w:qFormat/>
    <w:uiPriority w:val="9"/>
    <w:pPr>
      <w:keepNext/>
      <w:keepLines/>
      <w:spacing w:line="587" w:lineRule="exact"/>
      <w:ind w:firstLine="200" w:firstLineChars="200"/>
      <w:outlineLvl w:val="8"/>
    </w:pPr>
    <w:rPr>
      <w:rFonts w:eastAsiaTheme="majorEastAsia" w:cstheme="majorBidi"/>
      <w:color w:val="595959" w:themeColor="text1" w:themeTint="A6"/>
      <w:sz w:val="32"/>
      <w:szCs w:val="22"/>
      <w14:textFill>
        <w14:solidFill>
          <w14:schemeClr w14:val="tx1">
            <w14:lumMod w14:val="65000"/>
            <w14:lumOff w14:val="35000"/>
          </w14:schemeClr>
        </w14:solidFill>
      </w14:textFill>
      <w14:ligatures w14:val="standardContextua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szCs w:val="22"/>
    </w:rPr>
  </w:style>
  <w:style w:type="paragraph" w:styleId="12">
    <w:name w:val="Normal Indent"/>
    <w:basedOn w:val="1"/>
    <w:unhideWhenUsed/>
    <w:qFormat/>
    <w:uiPriority w:val="99"/>
    <w:pPr>
      <w:spacing w:line="587" w:lineRule="exact"/>
      <w:ind w:firstLine="420" w:firstLineChars="200"/>
    </w:pPr>
    <w:rPr>
      <w:rFonts w:eastAsia="方正仿宋_GBK"/>
      <w:sz w:val="32"/>
      <w:szCs w:val="22"/>
      <w14:ligatures w14:val="standardContextual"/>
    </w:rPr>
  </w:style>
  <w:style w:type="paragraph" w:styleId="13">
    <w:name w:val="annotation text"/>
    <w:basedOn w:val="1"/>
    <w:link w:val="70"/>
    <w:semiHidden/>
    <w:unhideWhenUsed/>
    <w:qFormat/>
    <w:uiPriority w:val="99"/>
    <w:pPr>
      <w:jc w:val="left"/>
    </w:pPr>
  </w:style>
  <w:style w:type="paragraph" w:styleId="14">
    <w:name w:val="Body Text"/>
    <w:basedOn w:val="1"/>
    <w:next w:val="1"/>
    <w:qFormat/>
    <w:uiPriority w:val="0"/>
    <w:rPr>
      <w:rFonts w:ascii="宋体" w:hAnsi="宋体" w:eastAsia="宋体" w:cs="Times New Roman"/>
      <w:color w:val="FF0000"/>
      <w:sz w:val="28"/>
      <w:szCs w:val="24"/>
    </w:rPr>
  </w:style>
  <w:style w:type="paragraph" w:styleId="15">
    <w:name w:val="Body Text Indent"/>
    <w:basedOn w:val="1"/>
    <w:link w:val="68"/>
    <w:semiHidden/>
    <w:unhideWhenUsed/>
    <w:qFormat/>
    <w:uiPriority w:val="99"/>
    <w:pPr>
      <w:spacing w:after="120"/>
      <w:ind w:left="420" w:leftChars="200"/>
    </w:pPr>
  </w:style>
  <w:style w:type="paragraph" w:styleId="16">
    <w:name w:val="toc 5"/>
    <w:basedOn w:val="1"/>
    <w:next w:val="1"/>
    <w:unhideWhenUsed/>
    <w:qFormat/>
    <w:uiPriority w:val="39"/>
    <w:pPr>
      <w:ind w:left="1680" w:leftChars="800"/>
    </w:pPr>
    <w:rPr>
      <w:szCs w:val="22"/>
    </w:rPr>
  </w:style>
  <w:style w:type="paragraph" w:styleId="17">
    <w:name w:val="toc 3"/>
    <w:basedOn w:val="1"/>
    <w:next w:val="1"/>
    <w:unhideWhenUsed/>
    <w:qFormat/>
    <w:uiPriority w:val="39"/>
    <w:pPr>
      <w:ind w:left="840" w:leftChars="400"/>
    </w:pPr>
  </w:style>
  <w:style w:type="paragraph" w:styleId="18">
    <w:name w:val="toc 8"/>
    <w:basedOn w:val="1"/>
    <w:next w:val="1"/>
    <w:unhideWhenUsed/>
    <w:qFormat/>
    <w:uiPriority w:val="39"/>
    <w:pPr>
      <w:ind w:left="2940" w:leftChars="1400"/>
    </w:pPr>
    <w:rPr>
      <w:szCs w:val="22"/>
    </w:rPr>
  </w:style>
  <w:style w:type="paragraph" w:styleId="19">
    <w:name w:val="footer"/>
    <w:basedOn w:val="1"/>
    <w:link w:val="67"/>
    <w:unhideWhenUsed/>
    <w:qFormat/>
    <w:uiPriority w:val="99"/>
    <w:pPr>
      <w:tabs>
        <w:tab w:val="center" w:pos="4153"/>
        <w:tab w:val="right" w:pos="8306"/>
      </w:tabs>
      <w:snapToGrid w:val="0"/>
      <w:spacing w:line="240" w:lineRule="atLeast"/>
      <w:ind w:firstLine="200" w:firstLineChars="200"/>
      <w:jc w:val="left"/>
    </w:pPr>
    <w:rPr>
      <w:rFonts w:eastAsia="方正仿宋_GBK"/>
      <w:sz w:val="18"/>
      <w:szCs w:val="18"/>
      <w14:ligatures w14:val="standardContextual"/>
    </w:rPr>
  </w:style>
  <w:style w:type="paragraph" w:styleId="20">
    <w:name w:val="header"/>
    <w:basedOn w:val="1"/>
    <w:link w:val="66"/>
    <w:unhideWhenUsed/>
    <w:qFormat/>
    <w:uiPriority w:val="99"/>
    <w:pPr>
      <w:tabs>
        <w:tab w:val="center" w:pos="4153"/>
        <w:tab w:val="right" w:pos="8306"/>
      </w:tabs>
      <w:snapToGrid w:val="0"/>
      <w:spacing w:line="240" w:lineRule="atLeast"/>
      <w:ind w:firstLine="200" w:firstLineChars="200"/>
      <w:jc w:val="center"/>
    </w:pPr>
    <w:rPr>
      <w:rFonts w:eastAsia="方正仿宋_GBK"/>
      <w:sz w:val="18"/>
      <w:szCs w:val="18"/>
      <w14:ligatures w14:val="standardContextual"/>
    </w:rPr>
  </w:style>
  <w:style w:type="paragraph" w:styleId="21">
    <w:name w:val="toc 1"/>
    <w:basedOn w:val="1"/>
    <w:next w:val="1"/>
    <w:unhideWhenUsed/>
    <w:qFormat/>
    <w:uiPriority w:val="39"/>
    <w:pPr>
      <w:widowControl/>
      <w:tabs>
        <w:tab w:val="right" w:leader="dot" w:pos="8948"/>
      </w:tabs>
      <w:spacing w:line="560" w:lineRule="exact"/>
      <w:jc w:val="left"/>
    </w:pPr>
    <w:rPr>
      <w:rFonts w:ascii="方正小标宋_GBK" w:hAnsi="Times New Roman" w:eastAsia="方正小标宋_GBK" w:cs="Times New Roman"/>
      <w:color w:val="000000" w:themeColor="text1"/>
      <w:kern w:val="0"/>
      <w:sz w:val="28"/>
      <w:szCs w:val="28"/>
      <w14:textFill>
        <w14:solidFill>
          <w14:schemeClr w14:val="tx1"/>
        </w14:solidFill>
      </w14:textFill>
    </w:rPr>
  </w:style>
  <w:style w:type="paragraph" w:styleId="22">
    <w:name w:val="toc 4"/>
    <w:basedOn w:val="1"/>
    <w:next w:val="1"/>
    <w:unhideWhenUsed/>
    <w:qFormat/>
    <w:uiPriority w:val="39"/>
    <w:pPr>
      <w:ind w:left="1260" w:leftChars="600"/>
    </w:pPr>
    <w:rPr>
      <w:szCs w:val="22"/>
    </w:rPr>
  </w:style>
  <w:style w:type="paragraph" w:styleId="23">
    <w:name w:val="Subtitle"/>
    <w:basedOn w:val="1"/>
    <w:next w:val="1"/>
    <w:link w:val="58"/>
    <w:qFormat/>
    <w:uiPriority w:val="11"/>
    <w:pPr>
      <w:spacing w:after="160" w:line="587" w:lineRule="exact"/>
      <w:ind w:firstLine="200" w:firstLineChars="20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standardContextual"/>
    </w:rPr>
  </w:style>
  <w:style w:type="paragraph" w:styleId="24">
    <w:name w:val="toc 6"/>
    <w:basedOn w:val="1"/>
    <w:next w:val="1"/>
    <w:unhideWhenUsed/>
    <w:qFormat/>
    <w:uiPriority w:val="39"/>
    <w:pPr>
      <w:ind w:left="2100" w:leftChars="1000"/>
    </w:pPr>
    <w:rPr>
      <w:szCs w:val="22"/>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rPr>
      <w:szCs w:val="22"/>
    </w:rPr>
  </w:style>
  <w:style w:type="paragraph" w:styleId="27">
    <w:name w:val="Title"/>
    <w:basedOn w:val="1"/>
    <w:next w:val="1"/>
    <w:link w:val="57"/>
    <w:qFormat/>
    <w:uiPriority w:val="10"/>
    <w:pPr>
      <w:spacing w:after="80"/>
      <w:ind w:firstLine="200" w:firstLineChars="200"/>
      <w:contextualSpacing/>
      <w:jc w:val="center"/>
    </w:pPr>
    <w:rPr>
      <w:rFonts w:asciiTheme="majorHAnsi" w:hAnsiTheme="majorHAnsi" w:eastAsiaTheme="majorEastAsia" w:cstheme="majorBidi"/>
      <w:spacing w:val="-10"/>
      <w:kern w:val="28"/>
      <w:sz w:val="56"/>
      <w:szCs w:val="56"/>
      <w14:ligatures w14:val="standardContextual"/>
    </w:rPr>
  </w:style>
  <w:style w:type="paragraph" w:styleId="28">
    <w:name w:val="annotation subject"/>
    <w:basedOn w:val="13"/>
    <w:next w:val="13"/>
    <w:link w:val="72"/>
    <w:semiHidden/>
    <w:unhideWhenUsed/>
    <w:qFormat/>
    <w:uiPriority w:val="99"/>
    <w:rPr>
      <w:b/>
      <w:bCs/>
    </w:rPr>
  </w:style>
  <w:style w:type="paragraph" w:styleId="29">
    <w:name w:val="Body Text First Indent 2"/>
    <w:basedOn w:val="15"/>
    <w:next w:val="1"/>
    <w:link w:val="69"/>
    <w:unhideWhenUsed/>
    <w:qFormat/>
    <w:uiPriority w:val="99"/>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styleId="35">
    <w:name w:val="annotation reference"/>
    <w:basedOn w:val="32"/>
    <w:semiHidden/>
    <w:unhideWhenUsed/>
    <w:qFormat/>
    <w:uiPriority w:val="99"/>
    <w:rPr>
      <w:sz w:val="21"/>
      <w:szCs w:val="21"/>
    </w:rPr>
  </w:style>
  <w:style w:type="paragraph" w:customStyle="1" w:styleId="36">
    <w:name w:val="（一）zyh"/>
    <w:basedOn w:val="1"/>
    <w:link w:val="37"/>
    <w:qFormat/>
    <w:uiPriority w:val="0"/>
    <w:pPr>
      <w:numPr>
        <w:ilvl w:val="0"/>
        <w:numId w:val="1"/>
      </w:numPr>
      <w:spacing w:line="587" w:lineRule="exact"/>
      <w:ind w:firstLine="200" w:firstLineChars="200"/>
    </w:pPr>
    <w:rPr>
      <w:rFonts w:ascii="方正楷体_GBK" w:hAnsi="方正楷体_GBK" w:eastAsia="方正楷体_GBK" w:cs="方正楷体_GBK"/>
      <w:sz w:val="32"/>
      <w:szCs w:val="32"/>
      <w14:ligatures w14:val="standardContextual"/>
    </w:rPr>
  </w:style>
  <w:style w:type="character" w:customStyle="1" w:styleId="37">
    <w:name w:val="（一）zyh 字符"/>
    <w:basedOn w:val="32"/>
    <w:link w:val="36"/>
    <w:qFormat/>
    <w:uiPriority w:val="0"/>
    <w:rPr>
      <w:rFonts w:ascii="方正楷体_GBK" w:hAnsi="方正楷体_GBK" w:eastAsia="方正楷体_GBK" w:cs="方正楷体_GBK"/>
      <w:sz w:val="32"/>
      <w:szCs w:val="32"/>
      <w14:ligatures w14:val="none"/>
    </w:rPr>
  </w:style>
  <w:style w:type="paragraph" w:customStyle="1" w:styleId="38">
    <w:name w:val="一、zyh"/>
    <w:basedOn w:val="1"/>
    <w:link w:val="39"/>
    <w:qFormat/>
    <w:uiPriority w:val="0"/>
    <w:pPr>
      <w:numPr>
        <w:ilvl w:val="0"/>
        <w:numId w:val="2"/>
      </w:numPr>
      <w:spacing w:line="587" w:lineRule="exact"/>
      <w:ind w:firstLine="200" w:firstLineChars="200"/>
    </w:pPr>
    <w:rPr>
      <w:rFonts w:ascii="黑体" w:hAnsi="黑体" w:eastAsia="黑体" w:cs="黑体"/>
      <w:sz w:val="32"/>
      <w:szCs w:val="32"/>
      <w14:ligatures w14:val="standardContextual"/>
    </w:rPr>
  </w:style>
  <w:style w:type="character" w:customStyle="1" w:styleId="39">
    <w:name w:val="一、zyh 字符"/>
    <w:basedOn w:val="32"/>
    <w:link w:val="38"/>
    <w:qFormat/>
    <w:uiPriority w:val="0"/>
    <w:rPr>
      <w:rFonts w:ascii="黑体" w:hAnsi="黑体" w:eastAsia="黑体" w:cs="黑体"/>
      <w:sz w:val="32"/>
      <w:szCs w:val="32"/>
      <w14:ligatures w14:val="none"/>
    </w:rPr>
  </w:style>
  <w:style w:type="paragraph" w:customStyle="1" w:styleId="40">
    <w:name w:val="大标题zyh"/>
    <w:basedOn w:val="1"/>
    <w:link w:val="41"/>
    <w:qFormat/>
    <w:uiPriority w:val="0"/>
    <w:pPr>
      <w:spacing w:line="587" w:lineRule="exact"/>
      <w:ind w:firstLine="880" w:firstLineChars="200"/>
      <w:jc w:val="center"/>
    </w:pPr>
    <w:rPr>
      <w:rFonts w:ascii="Times New Roman" w:hAnsi="Times New Roman" w:eastAsia="方正小标宋_GBK" w:cs="方正小标宋_GBK"/>
      <w:sz w:val="44"/>
      <w:szCs w:val="44"/>
      <w14:ligatures w14:val="standardContextual"/>
    </w:rPr>
  </w:style>
  <w:style w:type="character" w:customStyle="1" w:styleId="41">
    <w:name w:val="大标题zyh 字符"/>
    <w:basedOn w:val="32"/>
    <w:link w:val="40"/>
    <w:qFormat/>
    <w:uiPriority w:val="0"/>
    <w:rPr>
      <w:rFonts w:ascii="Times New Roman" w:hAnsi="Times New Roman" w:eastAsia="方正小标宋_GBK" w:cs="方正小标宋_GBK"/>
      <w:sz w:val="44"/>
      <w:szCs w:val="44"/>
      <w14:ligatures w14:val="none"/>
    </w:rPr>
  </w:style>
  <w:style w:type="paragraph" w:customStyle="1" w:styleId="42">
    <w:name w:val="zyh（一）"/>
    <w:basedOn w:val="1"/>
    <w:link w:val="43"/>
    <w:qFormat/>
    <w:uiPriority w:val="0"/>
    <w:pPr>
      <w:spacing w:line="587" w:lineRule="exact"/>
      <w:ind w:firstLine="640" w:firstLineChars="200"/>
    </w:pPr>
    <w:rPr>
      <w:rFonts w:ascii="方正楷体_GBK" w:hAnsi="方正楷体_GBK" w:eastAsia="方正楷体_GBK" w:cs="方正楷体_GBK"/>
      <w:sz w:val="32"/>
      <w:szCs w:val="32"/>
      <w14:ligatures w14:val="standardContextual"/>
    </w:rPr>
  </w:style>
  <w:style w:type="character" w:customStyle="1" w:styleId="43">
    <w:name w:val="zyh（一） 字符"/>
    <w:basedOn w:val="32"/>
    <w:link w:val="42"/>
    <w:qFormat/>
    <w:uiPriority w:val="0"/>
    <w:rPr>
      <w:rFonts w:ascii="方正楷体_GBK" w:hAnsi="方正楷体_GBK" w:eastAsia="方正楷体_GBK" w:cs="方正楷体_GBK"/>
      <w:sz w:val="32"/>
      <w:szCs w:val="32"/>
    </w:rPr>
  </w:style>
  <w:style w:type="paragraph" w:customStyle="1" w:styleId="44">
    <w:name w:val="zyh一"/>
    <w:basedOn w:val="1"/>
    <w:link w:val="45"/>
    <w:qFormat/>
    <w:uiPriority w:val="0"/>
    <w:pPr>
      <w:spacing w:line="587" w:lineRule="exact"/>
      <w:ind w:left="1080" w:firstLine="640" w:firstLineChars="200"/>
    </w:pPr>
    <w:rPr>
      <w:rFonts w:ascii="黑体" w:hAnsi="黑体" w:eastAsia="黑体" w:cs="黑体"/>
      <w:sz w:val="32"/>
      <w:szCs w:val="32"/>
      <w14:ligatures w14:val="standardContextual"/>
    </w:rPr>
  </w:style>
  <w:style w:type="character" w:customStyle="1" w:styleId="45">
    <w:name w:val="zyh一 字符"/>
    <w:basedOn w:val="32"/>
    <w:link w:val="44"/>
    <w:qFormat/>
    <w:uiPriority w:val="0"/>
    <w:rPr>
      <w:rFonts w:ascii="黑体" w:hAnsi="黑体" w:eastAsia="黑体" w:cs="黑体"/>
      <w:sz w:val="32"/>
      <w:szCs w:val="32"/>
    </w:rPr>
  </w:style>
  <w:style w:type="paragraph" w:customStyle="1" w:styleId="46">
    <w:name w:val="zyh大标题"/>
    <w:basedOn w:val="1"/>
    <w:link w:val="47"/>
    <w:qFormat/>
    <w:uiPriority w:val="0"/>
    <w:pPr>
      <w:spacing w:line="587" w:lineRule="exact"/>
      <w:ind w:firstLine="880" w:firstLineChars="200"/>
      <w:jc w:val="center"/>
    </w:pPr>
    <w:rPr>
      <w:rFonts w:eastAsia="方正小标宋_GBK" w:cs="方正小标宋_GBK"/>
      <w:sz w:val="44"/>
      <w:szCs w:val="44"/>
      <w14:ligatures w14:val="standardContextual"/>
    </w:rPr>
  </w:style>
  <w:style w:type="character" w:customStyle="1" w:styleId="47">
    <w:name w:val="zyh大标题 字符"/>
    <w:basedOn w:val="32"/>
    <w:link w:val="46"/>
    <w:qFormat/>
    <w:uiPriority w:val="0"/>
    <w:rPr>
      <w:rFonts w:eastAsia="方正小标宋_GBK" w:cs="方正小标宋_GBK"/>
      <w:sz w:val="44"/>
      <w:szCs w:val="44"/>
    </w:rPr>
  </w:style>
  <w:style w:type="character" w:customStyle="1" w:styleId="48">
    <w:name w:val="标题 1 字符"/>
    <w:basedOn w:val="32"/>
    <w:link w:val="2"/>
    <w:qFormat/>
    <w:uiPriority w:val="9"/>
    <w:rPr>
      <w:rFonts w:asciiTheme="majorHAnsi" w:hAnsiTheme="majorHAnsi" w:eastAsiaTheme="majorEastAsia" w:cstheme="majorBidi"/>
      <w:color w:val="2F5597" w:themeColor="accent1" w:themeShade="BF"/>
      <w:sz w:val="48"/>
      <w:szCs w:val="48"/>
    </w:rPr>
  </w:style>
  <w:style w:type="character" w:customStyle="1" w:styleId="49">
    <w:name w:val="标题 2 字符"/>
    <w:basedOn w:val="32"/>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50">
    <w:name w:val="标题 3 字符"/>
    <w:basedOn w:val="32"/>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51">
    <w:name w:val="标题 4 字符"/>
    <w:basedOn w:val="32"/>
    <w:link w:val="5"/>
    <w:semiHidden/>
    <w:qFormat/>
    <w:uiPriority w:val="9"/>
    <w:rPr>
      <w:rFonts w:cstheme="majorBidi"/>
      <w:color w:val="2F5597" w:themeColor="accent1" w:themeShade="BF"/>
      <w:sz w:val="28"/>
      <w:szCs w:val="28"/>
    </w:rPr>
  </w:style>
  <w:style w:type="character" w:customStyle="1" w:styleId="52">
    <w:name w:val="标题 5 字符"/>
    <w:basedOn w:val="32"/>
    <w:link w:val="6"/>
    <w:semiHidden/>
    <w:qFormat/>
    <w:uiPriority w:val="9"/>
    <w:rPr>
      <w:rFonts w:cstheme="majorBidi"/>
      <w:color w:val="2F5597" w:themeColor="accent1" w:themeShade="BF"/>
      <w:sz w:val="24"/>
      <w:szCs w:val="24"/>
    </w:rPr>
  </w:style>
  <w:style w:type="character" w:customStyle="1" w:styleId="53">
    <w:name w:val="标题 6 字符"/>
    <w:basedOn w:val="32"/>
    <w:link w:val="7"/>
    <w:semiHidden/>
    <w:qFormat/>
    <w:uiPriority w:val="9"/>
    <w:rPr>
      <w:rFonts w:cstheme="majorBidi"/>
      <w:b/>
      <w:bCs/>
      <w:color w:val="2F5597" w:themeColor="accent1" w:themeShade="BF"/>
      <w:sz w:val="32"/>
    </w:rPr>
  </w:style>
  <w:style w:type="character" w:customStyle="1" w:styleId="54">
    <w:name w:val="标题 7 字符"/>
    <w:basedOn w:val="32"/>
    <w:link w:val="8"/>
    <w:semiHidden/>
    <w:qFormat/>
    <w:uiPriority w:val="9"/>
    <w:rPr>
      <w:rFonts w:cstheme="majorBidi"/>
      <w:b/>
      <w:bCs/>
      <w:color w:val="595959" w:themeColor="text1" w:themeTint="A6"/>
      <w:sz w:val="32"/>
      <w14:textFill>
        <w14:solidFill>
          <w14:schemeClr w14:val="tx1">
            <w14:lumMod w14:val="65000"/>
            <w14:lumOff w14:val="35000"/>
          </w14:schemeClr>
        </w14:solidFill>
      </w14:textFill>
    </w:rPr>
  </w:style>
  <w:style w:type="character" w:customStyle="1" w:styleId="55">
    <w:name w:val="标题 8 字符"/>
    <w:basedOn w:val="32"/>
    <w:link w:val="9"/>
    <w:semiHidden/>
    <w:qFormat/>
    <w:uiPriority w:val="9"/>
    <w:rPr>
      <w:rFonts w:cstheme="majorBidi"/>
      <w:color w:val="595959" w:themeColor="text1" w:themeTint="A6"/>
      <w:sz w:val="32"/>
      <w14:textFill>
        <w14:solidFill>
          <w14:schemeClr w14:val="tx1">
            <w14:lumMod w14:val="65000"/>
            <w14:lumOff w14:val="35000"/>
          </w14:schemeClr>
        </w14:solidFill>
      </w14:textFill>
    </w:rPr>
  </w:style>
  <w:style w:type="character" w:customStyle="1" w:styleId="56">
    <w:name w:val="标题 9 字符"/>
    <w:basedOn w:val="32"/>
    <w:link w:val="10"/>
    <w:semiHidden/>
    <w:qFormat/>
    <w:uiPriority w:val="9"/>
    <w:rPr>
      <w:rFonts w:eastAsiaTheme="majorEastAsia" w:cstheme="majorBidi"/>
      <w:color w:val="595959" w:themeColor="text1" w:themeTint="A6"/>
      <w:sz w:val="32"/>
      <w14:textFill>
        <w14:solidFill>
          <w14:schemeClr w14:val="tx1">
            <w14:lumMod w14:val="65000"/>
            <w14:lumOff w14:val="35000"/>
          </w14:schemeClr>
        </w14:solidFill>
      </w14:textFill>
    </w:rPr>
  </w:style>
  <w:style w:type="character" w:customStyle="1" w:styleId="57">
    <w:name w:val="标题 字符"/>
    <w:basedOn w:val="32"/>
    <w:link w:val="27"/>
    <w:qFormat/>
    <w:uiPriority w:val="10"/>
    <w:rPr>
      <w:rFonts w:asciiTheme="majorHAnsi" w:hAnsiTheme="majorHAnsi" w:eastAsiaTheme="majorEastAsia" w:cstheme="majorBidi"/>
      <w:spacing w:val="-10"/>
      <w:kern w:val="28"/>
      <w:sz w:val="56"/>
      <w:szCs w:val="56"/>
    </w:rPr>
  </w:style>
  <w:style w:type="character" w:customStyle="1" w:styleId="58">
    <w:name w:val="副标题 字符"/>
    <w:basedOn w:val="32"/>
    <w:link w:val="2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9">
    <w:name w:val="Quote"/>
    <w:basedOn w:val="1"/>
    <w:next w:val="1"/>
    <w:link w:val="60"/>
    <w:qFormat/>
    <w:uiPriority w:val="29"/>
    <w:pPr>
      <w:spacing w:before="160" w:after="160" w:line="587" w:lineRule="exact"/>
      <w:ind w:firstLine="200" w:firstLineChars="200"/>
      <w:jc w:val="center"/>
    </w:pPr>
    <w:rPr>
      <w:rFonts w:eastAsia="方正仿宋_GBK"/>
      <w:i/>
      <w:iCs/>
      <w:color w:val="404040" w:themeColor="text1" w:themeTint="BF"/>
      <w:sz w:val="32"/>
      <w:szCs w:val="22"/>
      <w14:textFill>
        <w14:solidFill>
          <w14:schemeClr w14:val="tx1">
            <w14:lumMod w14:val="75000"/>
            <w14:lumOff w14:val="25000"/>
          </w14:schemeClr>
        </w14:solidFill>
      </w14:textFill>
      <w14:ligatures w14:val="standardContextual"/>
    </w:rPr>
  </w:style>
  <w:style w:type="character" w:customStyle="1" w:styleId="60">
    <w:name w:val="引用 字符"/>
    <w:basedOn w:val="32"/>
    <w:link w:val="59"/>
    <w:qFormat/>
    <w:uiPriority w:val="29"/>
    <w:rPr>
      <w:rFonts w:eastAsia="方正仿宋_GBK"/>
      <w:i/>
      <w:iCs/>
      <w:color w:val="404040" w:themeColor="text1" w:themeTint="BF"/>
      <w:sz w:val="32"/>
      <w14:textFill>
        <w14:solidFill>
          <w14:schemeClr w14:val="tx1">
            <w14:lumMod w14:val="75000"/>
            <w14:lumOff w14:val="25000"/>
          </w14:schemeClr>
        </w14:solidFill>
      </w14:textFill>
    </w:rPr>
  </w:style>
  <w:style w:type="paragraph" w:styleId="61">
    <w:name w:val="List Paragraph"/>
    <w:basedOn w:val="1"/>
    <w:qFormat/>
    <w:uiPriority w:val="34"/>
    <w:pPr>
      <w:spacing w:line="587" w:lineRule="exact"/>
      <w:ind w:left="720" w:firstLine="200" w:firstLineChars="200"/>
      <w:contextualSpacing/>
    </w:pPr>
    <w:rPr>
      <w:rFonts w:eastAsia="方正仿宋_GBK"/>
      <w:sz w:val="32"/>
      <w:szCs w:val="22"/>
      <w14:ligatures w14:val="standardContextual"/>
    </w:rPr>
  </w:style>
  <w:style w:type="character" w:customStyle="1" w:styleId="62">
    <w:name w:val="明显强调1"/>
    <w:basedOn w:val="32"/>
    <w:qFormat/>
    <w:uiPriority w:val="21"/>
    <w:rPr>
      <w:i/>
      <w:iCs/>
      <w:color w:val="2F5597" w:themeColor="accent1" w:themeShade="BF"/>
    </w:rPr>
  </w:style>
  <w:style w:type="paragraph" w:styleId="63">
    <w:name w:val="Intense Quote"/>
    <w:basedOn w:val="1"/>
    <w:next w:val="1"/>
    <w:link w:val="64"/>
    <w:qFormat/>
    <w:uiPriority w:val="30"/>
    <w:pPr>
      <w:pBdr>
        <w:top w:val="single" w:color="2F5496" w:themeColor="accent1" w:themeShade="BF" w:sz="4" w:space="10"/>
        <w:bottom w:val="single" w:color="2F5496" w:themeColor="accent1" w:themeShade="BF" w:sz="4" w:space="10"/>
      </w:pBdr>
      <w:spacing w:before="360" w:after="360" w:line="587" w:lineRule="exact"/>
      <w:ind w:left="864" w:right="864" w:firstLine="200" w:firstLineChars="200"/>
      <w:jc w:val="center"/>
    </w:pPr>
    <w:rPr>
      <w:rFonts w:eastAsia="方正仿宋_GBK"/>
      <w:i/>
      <w:iCs/>
      <w:color w:val="2F5597" w:themeColor="accent1" w:themeShade="BF"/>
      <w:sz w:val="32"/>
      <w:szCs w:val="22"/>
      <w14:ligatures w14:val="standardContextual"/>
    </w:rPr>
  </w:style>
  <w:style w:type="character" w:customStyle="1" w:styleId="64">
    <w:name w:val="明显引用 字符"/>
    <w:basedOn w:val="32"/>
    <w:link w:val="63"/>
    <w:qFormat/>
    <w:uiPriority w:val="30"/>
    <w:rPr>
      <w:rFonts w:eastAsia="方正仿宋_GBK"/>
      <w:i/>
      <w:iCs/>
      <w:color w:val="2F5597" w:themeColor="accent1" w:themeShade="BF"/>
      <w:sz w:val="32"/>
    </w:rPr>
  </w:style>
  <w:style w:type="character" w:customStyle="1" w:styleId="65">
    <w:name w:val="明显参考1"/>
    <w:basedOn w:val="32"/>
    <w:qFormat/>
    <w:uiPriority w:val="32"/>
    <w:rPr>
      <w:b/>
      <w:bCs/>
      <w:smallCaps/>
      <w:color w:val="2F5597" w:themeColor="accent1" w:themeShade="BF"/>
      <w:spacing w:val="5"/>
    </w:rPr>
  </w:style>
  <w:style w:type="character" w:customStyle="1" w:styleId="66">
    <w:name w:val="页眉 字符"/>
    <w:basedOn w:val="32"/>
    <w:link w:val="20"/>
    <w:qFormat/>
    <w:uiPriority w:val="99"/>
    <w:rPr>
      <w:rFonts w:eastAsia="方正仿宋_GBK"/>
      <w:sz w:val="18"/>
      <w:szCs w:val="18"/>
    </w:rPr>
  </w:style>
  <w:style w:type="character" w:customStyle="1" w:styleId="67">
    <w:name w:val="页脚 字符"/>
    <w:basedOn w:val="32"/>
    <w:link w:val="19"/>
    <w:qFormat/>
    <w:uiPriority w:val="99"/>
    <w:rPr>
      <w:rFonts w:eastAsia="方正仿宋_GBK"/>
      <w:sz w:val="18"/>
      <w:szCs w:val="18"/>
    </w:rPr>
  </w:style>
  <w:style w:type="character" w:customStyle="1" w:styleId="68">
    <w:name w:val="正文文本缩进 字符"/>
    <w:basedOn w:val="32"/>
    <w:link w:val="15"/>
    <w:semiHidden/>
    <w:qFormat/>
    <w:uiPriority w:val="99"/>
    <w:rPr>
      <w:szCs w:val="24"/>
      <w14:ligatures w14:val="none"/>
    </w:rPr>
  </w:style>
  <w:style w:type="character" w:customStyle="1" w:styleId="69">
    <w:name w:val="正文文本首行缩进 2 字符"/>
    <w:basedOn w:val="68"/>
    <w:link w:val="29"/>
    <w:qFormat/>
    <w:uiPriority w:val="99"/>
    <w:rPr>
      <w:szCs w:val="24"/>
      <w14:ligatures w14:val="none"/>
    </w:rPr>
  </w:style>
  <w:style w:type="character" w:customStyle="1" w:styleId="70">
    <w:name w:val="批注文字 字符"/>
    <w:basedOn w:val="32"/>
    <w:link w:val="13"/>
    <w:semiHidden/>
    <w:qFormat/>
    <w:uiPriority w:val="99"/>
    <w:rPr>
      <w:szCs w:val="24"/>
      <w14:ligatures w14:val="none"/>
    </w:rPr>
  </w:style>
  <w:style w:type="paragraph" w:customStyle="1" w:styleId="71">
    <w:name w:val="TOC 标题1"/>
    <w:basedOn w:val="2"/>
    <w:next w:val="1"/>
    <w:unhideWhenUsed/>
    <w:qFormat/>
    <w:uiPriority w:val="39"/>
    <w:pPr>
      <w:widowControl/>
      <w:spacing w:before="240" w:after="0" w:line="259" w:lineRule="auto"/>
      <w:ind w:firstLine="0" w:firstLineChars="0"/>
      <w:jc w:val="left"/>
      <w:outlineLvl w:val="9"/>
    </w:pPr>
    <w:rPr>
      <w:kern w:val="0"/>
      <w:sz w:val="32"/>
      <w:szCs w:val="32"/>
      <w14:ligatures w14:val="none"/>
    </w:rPr>
  </w:style>
  <w:style w:type="character" w:customStyle="1" w:styleId="72">
    <w:name w:val="批注主题 字符"/>
    <w:basedOn w:val="70"/>
    <w:link w:val="28"/>
    <w:semiHidden/>
    <w:qFormat/>
    <w:uiPriority w:val="99"/>
    <w:rPr>
      <w:b/>
      <w:bCs/>
      <w:szCs w:val="24"/>
      <w14:ligatures w14:val="none"/>
    </w:rPr>
  </w:style>
  <w:style w:type="paragraph" w:customStyle="1" w:styleId="73">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2"/>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76">
    <w:name w:val="未处理的提及2"/>
    <w:basedOn w:val="32"/>
    <w:semiHidden/>
    <w:unhideWhenUsed/>
    <w:qFormat/>
    <w:uiPriority w:val="99"/>
    <w:rPr>
      <w:color w:val="605E5C"/>
      <w:shd w:val="clear" w:color="auto" w:fill="E1DFDD"/>
    </w:rPr>
  </w:style>
  <w:style w:type="character" w:customStyle="1" w:styleId="77">
    <w:name w:val="未处理的提及3"/>
    <w:basedOn w:val="32"/>
    <w:semiHidden/>
    <w:unhideWhenUsed/>
    <w:qFormat/>
    <w:uiPriority w:val="99"/>
    <w:rPr>
      <w:color w:val="605E5C"/>
      <w:shd w:val="clear" w:color="auto" w:fill="E1DFDD"/>
    </w:rPr>
  </w:style>
  <w:style w:type="paragraph" w:customStyle="1" w:styleId="78">
    <w:name w:val="修订3"/>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79">
    <w:name w:val="修订4"/>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80">
    <w:name w:val="未处理的提及4"/>
    <w:basedOn w:val="32"/>
    <w:semiHidden/>
    <w:unhideWhenUsed/>
    <w:qFormat/>
    <w:uiPriority w:val="99"/>
    <w:rPr>
      <w:color w:val="605E5C"/>
      <w:shd w:val="clear" w:color="auto" w:fill="E1DFDD"/>
    </w:rPr>
  </w:style>
  <w:style w:type="character" w:customStyle="1" w:styleId="81">
    <w:name w:val="未处理的提及5"/>
    <w:basedOn w:val="32"/>
    <w:semiHidden/>
    <w:unhideWhenUsed/>
    <w:qFormat/>
    <w:uiPriority w:val="99"/>
    <w:rPr>
      <w:color w:val="605E5C"/>
      <w:shd w:val="clear" w:color="auto" w:fill="E1DFDD"/>
    </w:rPr>
  </w:style>
  <w:style w:type="character" w:customStyle="1" w:styleId="82">
    <w:name w:val="未处理的提及6"/>
    <w:basedOn w:val="3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2b6a81fb-54ed-4b25-a87a-51e82421cd74</errorID>
      <errorWord>III类</errorWord>
      <group>L1_Knowledge</group>
      <groupName>知识性问题</groupName>
      <ability>L2_Knowledge</ability>
      <abilityName>其他知识</abilityName>
      <candidateList>
        <item>Ⅲ类</item>
      </candidateList>
      <explain/>
      <paraID>1AAB30FD</paraID>
      <start>57</start>
      <end>61</end>
      <status>unmodified</status>
      <modifiedWord/>
      <trackRevisions>false</trackRevisions>
    </reviewItem>
    <reviewItem>
      <errorID>eb63425e-9f7c-440f-b9e4-f8906f5e97d7</errorID>
      <errorWord>达</errorWord>
      <group>L1_Word</group>
      <groupName>字词问题</groupName>
      <ability>L2_Typo</ability>
      <abilityName>字词错误</abilityName>
      <candidateList>
        <item>达到</item>
      </candidateList>
      <explain>〈动〉到（多指抽象事物或程度）：达得到｜达不到｜目的没有～｜～国际水平。</explain>
      <paraID>415FC325</paraID>
      <start>542</start>
      <end>543</end>
      <status>unmodified</status>
      <modifiedWord/>
      <trackRevisions>false</trackRevisions>
    </reviewItem>
    <reviewItem>
      <errorID>39315471-cd6a-463c-9020-b85553fdde25</errorID>
      <errorWord>国家4A级景区</errorWord>
      <group>L1_Word</group>
      <groupName>字词问题</groupName>
      <ability>L2_Typo</ability>
      <abilityName>字词错误</abilityName>
      <candidateList>
        <item>国家4A级旅游景区</item>
      </candidateList>
      <explain/>
      <paraID>11CE26B5</paraID>
      <start>197</start>
      <end>204</end>
      <status>unmodified</status>
      <modifiedWord/>
      <trackRevisions>false</trackRevisions>
    </reviewItem>
    <reviewItem>
      <errorID>6e425a08-1554-40a1-90bb-8f3ee1c374cf</errorID>
      <errorWord>全国学前教育普及普惠县</errorWord>
      <group>L1_Political</group>
      <groupName>政治性问题</groupName>
      <ability>L2_Unpolitical</ability>
      <abilityName>政治敏感错误</abilityName>
      <candidateList>
        <item>国家学前教育普及普惠县</item>
      </candidateList>
      <explain/>
      <paraID>2CAFA414</paraID>
      <start>308</start>
      <end>319</end>
      <status>unmodified</status>
      <modifiedWord/>
      <trackRevisions>false</trackRevisions>
    </reviewItem>
    <reviewItem>
      <errorID>51b50181-69b5-4839-91ed-4f2ef7bedaf0</errorID>
      <errorWord>城乡基本养老保险</errorWord>
      <group>L1_Word</group>
      <groupName>字词问题</groupName>
      <ability>L2_Typo</ability>
      <abilityName>字词错误</abilityName>
      <candidateList>
        <item>城乡居民基本养老保险</item>
      </candidateList>
      <explain/>
      <paraID>67F550DB</paraID>
      <start>0</start>
      <end>8</end>
      <status>unmodified</status>
      <modifiedWord/>
      <trackRevisions>false</trackRevisions>
    </reviewItem>
    <reviewItem>
      <errorID>e6c94031-3824-420c-b5f6-14772851680f</errorID>
      <errorWord>III类</errorWord>
      <group>L1_Knowledge</group>
      <groupName>知识性问题</groupName>
      <ability>L2_Knowledge</ability>
      <abilityName>其他知识</abilityName>
      <candidateList>
        <item>Ⅲ类</item>
      </candidateList>
      <explain/>
      <paraID>6CB8F95F</paraID>
      <start>17</start>
      <end>21</end>
      <status>unmodified</status>
      <modifiedWord/>
      <trackRevisions>false</trackRevisions>
    </reviewItem>
    <reviewItem>
      <errorID>4e044c88-3424-4849-b739-7f6494650512</errorID>
      <errorWord>远</errorWord>
      <group>L1_Word</group>
      <groupName>字词问题</groupName>
      <ability>L2_Typo</ability>
      <abilityName>字词错误</abilityName>
      <candidateList>
        <item>愿</item>
      </candidateList>
      <explain/>
      <paraID>5B48CD12</paraID>
      <start>56</start>
      <end>57</end>
      <status>unmodified</status>
      <modifiedWord/>
      <trackRevisions>false</trackRevisions>
    </reviewItem>
    <reviewItem>
      <errorID>f721294d-342a-4556-b267-da49e006a932</errorID>
      <errorWord>双招双引</errorWord>
      <group>L1_Political</group>
      <groupName>政治性问题</groupName>
      <ability>L2_Unpolitical</ability>
      <abilityName>政治敏感错误</abilityName>
      <candidateList>
        <item>“双招双引”</item>
      </candidateList>
      <explain/>
      <paraID>12F02108</paraID>
      <start>44</start>
      <end>48</end>
      <status>unmodified</status>
      <modifiedWord/>
      <trackRevisions>false</trackRevisions>
    </reviewItem>
    <reviewItem>
      <errorID>60f220f0-a641-471f-901d-608d6f9d0af4</errorID>
      <errorWord>产业链、人才链、创新链、资金链</errorWord>
      <group>L1_Political</group>
      <groupName>政治性问题</groupName>
      <ability>L2_Keyword</ability>
      <abilityName>固定表述</abilityName>
      <candidateList>
        <item>创新链、产业链、人才链、资金链</item>
      </candidateList>
      <explain>词汇“创新链、产业链、人才链、资金链”在特定场景下为固定表述形式，请确认此处的“产业链、人才链、创新链、资金链”是否存在不当。</explain>
      <paraID>12F02108</paraID>
      <start>79</start>
      <end>94</end>
      <status>unmodified</status>
      <modifiedWord/>
      <trackRevisions>false</trackRevisions>
    </reviewItem>
    <reviewItem>
      <errorID>e43e50a2-4a7b-45c2-8ad3-e59ed3720bd6</errorID>
      <errorWord>经济更高质量发展</errorWord>
      <group>L1_Political</group>
      <groupName>政治性问题</groupName>
      <ability>L2_Keyword</ability>
      <abilityName>固定表述</abilityName>
      <candidateList>
        <item>经济高质量发展</item>
      </candidateList>
      <explain>词汇“经济高质量发展”在特定场景下为固定表述形式，请确认此处的“经济更高质量发展”是否存在不当。</explain>
      <paraID>2E2417E0</paraID>
      <start>82</start>
      <end>90</end>
      <status>unmodified</status>
      <modifiedWord/>
      <trackRevisions>false</trackRevisions>
    </reviewItem>
    <reviewItem>
      <errorID>288ed1f6-a658-45a2-99e6-ab3e6b85863c</errorID>
      <errorWord>市委市政府</errorWord>
      <group>L1_Word</group>
      <groupName>字词问题</groupName>
      <ability>L2_Typo</ability>
      <abilityName>字词错误</abilityName>
      <candidateList>
        <item>市委、市政府</item>
      </candidateList>
      <explain/>
      <paraID>7832E037</paraID>
      <start>21</start>
      <end>26</end>
      <status>unmodified</status>
      <modifiedWord/>
      <trackRevisions>false</trackRevisions>
    </reviewItem>
    <reviewItem>
      <errorID>3d9e0727-82c7-402c-9948-c7dc22f22eec</errorID>
      <errorWord>亿</errorWord>
      <group>L1_Word</group>
      <groupName>字词问题</groupName>
      <ability>L2_Typo</ability>
      <abilityName>字词错误</abilityName>
      <candidateList>
        <item>亿元</item>
      </candidateList>
      <explain/>
      <paraID>28FE56B4</paraID>
      <start>146</start>
      <end>147</end>
      <status>unmodified</status>
      <modifiedWord/>
      <trackRevisions>false</trackRevisions>
    </reviewItem>
    <reviewItem>
      <errorID>bd534811-5fee-43e6-b71c-c469c943dc8e</errorID>
      <errorWord>生物系统多样性稳定性持续性</errorWord>
      <group>L1_Political</group>
      <groupName>政治性问题</groupName>
      <ability>L2_Keyword</ability>
      <abilityName>固定表述</abilityName>
      <candidateList>
        <item>生态系统多样性稳定性持续性</item>
      </candidateList>
      <explain>词汇“生态系统多样性稳定性持续性”在特定场景下为固定表述形式，请确认此处的“生物系统多样性稳定性持续性”是否存在不当。</explain>
      <paraID> 8AC1CD1</paraID>
      <start>56</start>
      <end>69</end>
      <status>unmodified</status>
      <modifiedWord/>
      <trackRevisions>false</trackRevisions>
    </reviewItem>
    <reviewItem>
      <errorID>b70d7df3-09b6-4925-86ca-6b82c1ff92ad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32EEBDE6</paraID>
      <start>193</start>
      <end>194</end>
      <status>unmodified</status>
      <modifiedWord/>
      <trackRevisions>false</trackRevisions>
    </reviewItem>
    <reviewItem>
      <errorID>40a4ff5e-9651-4fdc-91ea-dbc5717229bb</errorID>
      <errorWord>专精特新小巨人企业</errorWord>
      <group>L1_Political</group>
      <groupName>政治性问题</groupName>
      <ability>L2_Keyword</ability>
      <abilityName>固定表述</abilityName>
      <candidateList>
        <item>专精特新‘小巨人’企业</item>
      </candidateList>
      <explain>注意检查当前固定表述标点是否使用规范。</explain>
      <paraID>33164315</paraID>
      <start>31</start>
      <end>40</end>
      <status>unmodified</status>
      <modifiedWord/>
      <trackRevisions>false</trackRevisions>
    </reviewItem>
    <reviewItem>
      <errorID>8d53379d-8953-43b5-9cf1-809bacc09a23</errorID>
      <errorWord>业</errorWord>
      <group>L1_Word</group>
      <groupName>字词问题</groupName>
      <ability>L2_Typo</ability>
      <abilityName>字词错误</abilityName>
      <candidateList>
        <item>业以</item>
      </candidateList>
      <explain/>
      <paraID>6F9098ED</paraID>
      <start>33</start>
      <end>34</end>
      <status>unmodified</status>
      <modifiedWord/>
      <trackRevisions>false</trackRevisions>
    </reviewItem>
    <reviewItem>
      <errorID>c56c7e58-3eda-4905-af09-fbb9e35f636f</errorID>
      <errorWord>科技金融、普惠金融、绿色金融、养老金融、数字金融</errorWord>
      <group>L1_Political</group>
      <groupName>政治性问题</groupName>
      <ability>L2_Keyword</ability>
      <abilityName>固定表述</abilityName>
      <candidateList>
        <item>科技金融、绿色金融、普惠金融、养老金融、数字金融</item>
      </candidateList>
      <explain>词汇“科技金融、绿色金融、普惠金融、养老金融、数字金融”在特定场景下为固定表述形式，请确认此处的“科技金融、普惠金融、绿色金融、养老金融、数字金融”是否存在不当。</explain>
      <paraID>6548B98A</paraID>
      <start>50</start>
      <end>74</end>
      <status>unmodified</status>
      <modifiedWord/>
      <trackRevisions>false</trackRevisions>
    </reviewItem>
    <reviewItem>
      <errorID>ea92cc5a-fd39-4cfd-88d0-0f3314b87446</errorID>
      <errorWord>深入实施消费提振专项行动</errorWord>
      <group>L1_Word</group>
      <groupName>字词问题</groupName>
      <ability>L2_Typo</ability>
      <abilityName>字词错误</abilityName>
      <candidateList>
        <item>深入实施提振消费专项行动</item>
      </candidateList>
      <explain/>
      <paraID>1BFE80AD</paraID>
      <start>11</start>
      <end>23</end>
      <status>unmodified</status>
      <modifiedWord/>
      <trackRevisions>false</trackRevisions>
    </reviewItem>
    <reviewItem>
      <errorID>cba07c9d-cc8f-43ae-ae5a-f9bf6c9f512f</errorID>
      <errorWord>高品质</errorWord>
      <group>L1_Grammar</group>
      <groupName>语法问题</groupName>
      <ability>L2_Grammar</ability>
      <abilityName>语法错误</abilityName>
      <candidateList>
        <item>高质量</item>
      </candidateList>
      <explain>“高品质～发展”搭配不当，建议修改为“高质量～发展”。</explain>
      <paraID> D9B4019</paraID>
      <start>16</start>
      <end>19</end>
      <status>unmodified</status>
      <modifiedWord/>
      <trackRevisions>false</trackRevisions>
    </reviewItem>
    <reviewItem>
      <errorID>4f940639-80a1-413b-ba56-9bd37daa5486</errorID>
      <errorWord>民歌汇演</errorWord>
      <group>L1_Word</group>
      <groupName>字词问题</groupName>
      <ability>L2_Typo</ability>
      <abilityName>字词错误</abilityName>
      <candidateList>
        <item>民歌会演</item>
      </candidateList>
      <explain/>
      <paraID> F74BDE9</paraID>
      <start>221</start>
      <end>225</end>
      <status>unmodified</status>
      <modifiedWord/>
      <trackRevisions>false</trackRevisions>
    </reviewItem>
    <reviewItem>
      <errorID>c27bd9b5-5161-4577-921b-da63d32b787f</errorID>
      <errorWord>全</errorWord>
      <group>L1_Word</group>
      <groupName>字词问题</groupName>
      <ability>L2_Typo</ability>
      <abilityName>字词错误</abilityName>
      <candidateList>
        <item>全过</item>
      </candidateList>
      <explain/>
      <paraID>796F4480</paraID>
      <start>189</start>
      <end>190</end>
      <status>unmodified</status>
      <modifiedWord/>
      <trackRevisions>false</trackRevisions>
    </reviewItem>
    <reviewItem>
      <errorID>36e8653a-6564-42f5-a7cc-491685e82a0b</errorID>
      <errorWord>产业链与供应链</errorWord>
      <group>L1_Political</group>
      <groupName>政治性问题</groupName>
      <ability>L2_Keyword</ability>
      <abilityName>固定表述</abilityName>
      <candidateList>
        <item>产业链供应链</item>
      </candidateList>
      <explain>词汇“产业链供应链”在特定场景下为固定表述形式，请确认此处的“产业链与供应链”是否存在不当。</explain>
      <paraID>2078CDD4</paraID>
      <start>70</start>
      <end>77</end>
      <status>unmodified</status>
      <modifiedWord/>
      <trackRevisions>false</trackRevisions>
    </reviewItem>
    <reviewItem>
      <errorID>0a1ddfa4-2b1d-41cc-922b-b429e777aa57</errorID>
      <errorWord>生产性服务专业</errorWord>
      <group>L1_Political</group>
      <groupName>政治性问题</groupName>
      <ability>L2_Keyword</ability>
      <abilityName>固定表述</abilityName>
      <candidateList>
        <item>生产性服务业</item>
      </candidateList>
      <explain>词汇“生产性服务业”在特定场景下为固定表述形式，请确认此处的“生产性服务专业”是否存在不当。</explain>
      <paraID>39B5CD7E</paraID>
      <start>200</start>
      <end>207</end>
      <status>unmodified</status>
      <modifiedWord/>
      <trackRevisions>false</trackRevisions>
    </reviewItem>
    <reviewItem>
      <errorID>388011ed-ea81-4074-bfff-e61a39eeb5e9</errorID>
      <errorWord>高品质</errorWord>
      <group>L1_Grammar</group>
      <groupName>语法问题</groupName>
      <ability>L2_Grammar</ability>
      <abilityName>语法错误</abilityName>
      <candidateList>
        <item>高质量</item>
      </candidateList>
      <explain>“高品质～发展”搭配不当，建议修改为“高质量～发展”。</explain>
      <paraID>58B5C283</paraID>
      <start>9</start>
      <end>12</end>
      <status>unmodified</status>
      <modifiedWord/>
      <trackRevisions>false</trackRevisions>
    </reviewItem>
    <reviewItem>
      <errorID>496d696e-9fd8-4589-8b94-7019910737a6</errorID>
      <errorWord>安全、舒适、绿色、智慧的“好房子”</errorWord>
      <group>L1_Political</group>
      <groupName>政治性问题</groupName>
      <ability>L2_Keyword</ability>
      <abilityName>固定表述</abilityName>
      <candidateList>
        <item>安全舒适绿色智慧的“好房子”</item>
      </candidateList>
      <explain>注意检查当前固定表述标点是否使用规范。</explain>
      <paraID>4FF3EDEF</paraID>
      <start>139</start>
      <end>156</end>
      <status>unmodified</status>
      <modifiedWord/>
      <trackRevisions>false</trackRevisions>
    </reviewItem>
    <reviewItem>
      <errorID>9a1caa84-3405-4a60-aba2-9a5399556765</errorID>
      <errorWord>物业质量提升行动</errorWord>
      <group>L1_Political</group>
      <groupName>政治性问题</groupName>
      <ability>L2_Keyword</ability>
      <abilityName>固定表述</abilityName>
      <candidateList>
        <item>物业服务质量提升行动</item>
      </candidateList>
      <explain>词汇“物业服务质量提升行动”在特定场景下为固定表述形式，请确认此处的“物业质量提升行动”是否存在不当。</explain>
      <paraID>4FF3EDEF</paraID>
      <start>159</start>
      <end>167</end>
      <status>unmodified</status>
      <modifiedWord/>
      <trackRevisions>false</trackRevisions>
    </reviewItem>
    <reviewItem>
      <errorID>1c9406ad-5a27-469c-a444-514fc9e354ec</errorID>
      <errorWord>金角银边</errorWord>
      <group>L1_Political</group>
      <groupName>政治性问题</groupName>
      <ability>L2_Keyword</ability>
      <abilityName>固定表述</abilityName>
      <candidateList>
        <item>“金角银边”</item>
      </candidateList>
      <explain>注意检查当前固定表述标点是否使用规范。</explain>
      <paraID>5BFBDB90</paraID>
      <start>39</start>
      <end>43</end>
      <status>unmodified</status>
      <modifiedWord/>
      <trackRevisions>false</trackRevisions>
    </reviewItem>
    <reviewItem>
      <errorID>211099e6-6a73-4200-85d5-5e4a8d1a99a2</errorID>
      <errorWord>互连互通</errorWord>
      <group>L1_Word</group>
      <groupName>字词问题</groupName>
      <ability>L2_Typo</ability>
      <abilityName>字词错误</abilityName>
      <candidateList>
        <item>互联互通</item>
      </candidateList>
      <explain/>
      <paraID>1628C18C</paraID>
      <start>119</start>
      <end>123</end>
      <status>unmodified</status>
      <modifiedWord/>
      <trackRevisions>false</trackRevisions>
    </reviewItem>
    <reviewItem>
      <errorID>5aaca7d3-fe07-4f44-b53f-d8923b46ef9f</errorID>
      <errorWord>民</errorWord>
      <group>L1_Word</group>
      <groupName>字词问题</groupName>
      <ability>L2_Typo</ability>
      <abilityName>字词错误</abilityName>
      <candidateList>
        <item>民在</item>
      </candidateList>
      <explain/>
      <paraID>5B4CF8C3</paraID>
      <start>146</start>
      <end>147</end>
      <status>unmodified</status>
      <modifiedWord/>
      <trackRevisions>false</trackRevisions>
    </reviewItem>
    <reviewItem>
      <errorID>3b5b7f6f-2f87-42ad-8217-fb54d719c7ce</errorID>
      <errorWord>农产品区域品牌</errorWord>
      <group>L1_Political</group>
      <groupName>政治性问题</groupName>
      <ability>L2_Keyword</ability>
      <abilityName>固定表述</abilityName>
      <candidateList>
        <item>农产品区域公用品牌</item>
      </candidateList>
      <explain>词汇“农产品区域公用品牌”在特定场景下为固定表述形式，请确认此处的“农产品区域品牌”是否存在不当。</explain>
      <paraID>5873C1B8</paraID>
      <start>372</start>
      <end>379</end>
      <status>unmodified</status>
      <modifiedWord/>
      <trackRevisions>false</trackRevisions>
    </reviewItem>
    <reviewItem>
      <errorID>f9a62433-3a02-47af-a83b-8de4ac636375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5873C1B8</paraID>
      <start>399</start>
      <end>400</end>
      <status>unmodified</status>
      <modifiedWord/>
      <trackRevisions>false</trackRevisions>
    </reviewItem>
    <reviewItem>
      <errorID>140377d1-28d2-4c51-889d-b10e09e51d64</errorID>
      <errorWord>现代特色产业园</errorWord>
      <group>L1_Political</group>
      <groupName>政治性问题</groupName>
      <ability>L2_Keyword</ability>
      <abilityName>固定表述</abilityName>
      <candidateList>
        <item>现代农业产业园</item>
      </candidateList>
      <explain>词汇“现代农业产业园”在特定场景下为固定表述形式，请确认此处的“现代特色产业园”是否存在不当。</explain>
      <paraID>6BDB8915</paraID>
      <start>71</start>
      <end>78</end>
      <status>unmodified</status>
      <modifiedWord/>
      <trackRevisions>false</trackRevisions>
    </reviewItem>
    <reviewItem>
      <errorID>b1755734-0ed0-4b54-96cd-cb1f75fd46e2</errorID>
      <errorWord>，</errorWord>
      <group>L1_Word</group>
      <groupName>字词问题</groupName>
      <ability>L2_Typo</ability>
      <abilityName>字词错误</abilityName>
      <candidateList>
        <item>，对</item>
      </candidateList>
      <explain/>
      <paraID> 9E7E224</paraID>
      <start>171</start>
      <end>172</end>
      <status>unmodified</status>
      <modifiedWord/>
      <trackRevisions>false</trackRevisions>
    </reviewItem>
    <reviewItem>
      <errorID>c20670e3-6b82-40a6-b136-22b6fd94f0e3</errorID>
      <errorWord>“三权分置”</errorWord>
      <group>L1_Word</group>
      <groupName>字词问题</groupName>
      <ability>L2_Typo</ability>
      <abilityName>字词错误</abilityName>
      <candidateList>
        <item>“三权”分置</item>
      </candidateList>
      <explain/>
      <paraID>44A857D6</paraID>
      <start>276</start>
      <end>282</end>
      <status>unmodified</status>
      <modifiedWord/>
      <trackRevisions>false</trackRevisions>
    </reviewItem>
    <reviewItem>
      <errorID>20f0e8e8-fe8f-4999-a335-94c445dca353</errorID>
      <errorWord>标识农产品</errorWord>
      <group>L1_Word</group>
      <groupName>字词问题</groupName>
      <ability>L2_Typo</ability>
      <abilityName>字词错误</abilityName>
      <candidateList>
        <item>标志农产品</item>
      </candidateList>
      <explain/>
      <paraID>7BA90172</paraID>
      <start>100</start>
      <end>105</end>
      <status>unmodified</status>
      <modifiedWord/>
      <trackRevisions>false</trackRevisions>
    </reviewItem>
    <reviewItem>
      <errorID>6b73179e-f885-412f-ac6a-1e861a3ec4e3</errorID>
      <errorWord>，</errorWord>
      <group>L1_Word</group>
      <groupName>字词问题</groupName>
      <ability>L2_Typo</ability>
      <abilityName>字词错误</abilityName>
      <candidateList>
        <item>，有</item>
      </candidateList>
      <explain/>
      <paraID>4DB1347C</paraID>
      <start>138</start>
      <end>139</end>
      <status>unmodified</status>
      <modifiedWord/>
      <trackRevisions>false</trackRevisions>
    </reviewItem>
    <reviewItem>
      <errorID>8d24407c-fdcd-4cd5-8dd7-61ab9b1f847b</errorID>
      <errorWord>分类社会救助体系</errorWord>
      <group>L1_Political</group>
      <groupName>政治性问题</groupName>
      <ability>L2_Keyword</ability>
      <abilityName>固定表述</abilityName>
      <candidateList>
        <item>分层分类社会救助体系</item>
      </candidateList>
      <explain>词汇“分层分类社会救助体系”在特定场景下为固定表述形式，请确认此处的“分类社会救助体系”是否存在不当。</explain>
      <paraID>7B35CC3A</paraID>
      <start>2</start>
      <end>10</end>
      <status>unmodified</status>
      <modifiedWord/>
      <trackRevisions>false</trackRevisions>
    </reviewItem>
    <reviewItem>
      <errorID>4cacd31e-848a-40be-9bbd-b77f89f5d717</errorID>
      <errorWord>《中国共产党金湖地方史（第三卷）》</errorWord>
      <group>L1_Knowledge</group>
      <groupName>知识性问题</groupName>
      <ability>L2_Knowledge</ability>
      <abilityName>其他知识</abilityName>
      <candidateList>
        <item>《中国共产党金湖地方史》第三卷</item>
      </candidateList>
      <explain>疑似政策文件、法律法规名称等书写不规范，请注意检查。</explain>
      <paraID>54968191</paraID>
      <start>208</start>
      <end>225</end>
      <status>unmodified</status>
      <modifiedWord/>
      <trackRevisions>false</trackRevisions>
    </reviewItem>
    <reviewItem>
      <errorID>af635d62-4b69-444c-9ed2-7019049ac7e5</errorID>
      <errorWord>学前教育普惠发展</errorWord>
      <group>L1_Political</group>
      <groupName>政治性问题</groupName>
      <ability>L2_Keyword</ability>
      <abilityName>固定表述</abilityName>
      <candidateList>
        <item>学前教育优质普惠发展</item>
      </candidateList>
      <explain>词汇“学前教育优质普惠发展”在特定场景下为固定表述形式，请确认此处的“学前教育普惠发展”是否存在不当。</explain>
      <paraID>2F95C628</paraID>
      <start>2</start>
      <end>10</end>
      <status>unmodified</status>
      <modifiedWord/>
      <trackRevisions>false</trackRevisions>
    </reviewItem>
    <reviewItem>
      <errorID>e1419c62-0575-40b3-b398-31533408a4bf</errorID>
      <errorWord>学前教育普惠优质发展</errorWord>
      <group>L1_Political</group>
      <groupName>政治性问题</groupName>
      <ability>L2_Keyword</ability>
      <abilityName>固定表述</abilityName>
      <candidateList>
        <item>学前教育优质普惠发展</item>
      </candidateList>
      <explain>词汇“学前教育优质普惠发展”在特定场景下为固定表述形式，请确认此处的“学前教育普惠优质发展”是否存在不当。</explain>
      <paraID>2F95C628</paraID>
      <start>75</start>
      <end>85</end>
      <status>unmodified</status>
      <modifiedWord/>
      <trackRevisions>false</trackRevisions>
    </reviewItem>
    <reviewItem>
      <errorID>ba13f3a5-ddd0-45dc-937b-56bdc5907095</errorID>
      <errorWord>2-3个</errorWord>
      <group>L1_Punc</group>
      <groupName>标点问题</groupName>
      <ability>L2_Punc</ability>
      <abilityName>标点符号检查</abilityName>
      <candidateList>
        <item>2～3个</item>
      </candidateList>
      <explain/>
      <paraID>2F95C628</paraID>
      <start>112</start>
      <end>116</end>
      <status>unmodified</status>
      <modifiedWord/>
      <trackRevisions>false</trackRevisions>
    </reviewItem>
    <reviewItem>
      <errorID>96e70204-f42a-4894-be2e-b5e61a0208fd</errorID>
      <errorWord>校际间</errorWord>
      <group>L1_Word</group>
      <groupName>字词问题</groupName>
      <ability>L2_Typo</ability>
      <abilityName>字词错误</abilityName>
      <candidateList>
        <item>校际</item>
      </candidateList>
      <explain/>
      <paraID>1FDFBD02</paraID>
      <start>141</start>
      <end>144</end>
      <status>unmodified</status>
      <modifiedWord/>
      <trackRevisions>false</trackRevisions>
    </reviewItem>
    <reviewItem>
      <errorID>7bbf19e0-1059-4cc6-96f5-49aa6516ae50</errorID>
      <errorWord>2-3个</errorWord>
      <group>L1_Punc</group>
      <groupName>标点问题</groupName>
      <ability>L2_Punc</ability>
      <abilityName>标点符号检查</abilityName>
      <candidateList>
        <item>2～3个</item>
      </candidateList>
      <explain/>
      <paraID>55AC5222</paraID>
      <start>63</start>
      <end>67</end>
      <status>unmodified</status>
      <modifiedWord/>
      <trackRevisions>false</trackRevisions>
    </reviewItem>
    <reviewItem>
      <errorID>1da2792e-2c00-4031-862b-9961bbcc119a</errorID>
      <errorWord>医药卫生制度改革</errorWord>
      <group>L1_Political</group>
      <groupName>政治性问题</groupName>
      <ability>L2_Keyword</ability>
      <abilityName>固定表述</abilityName>
      <candidateList>
        <item>医药卫生体制改革</item>
      </candidateList>
      <explain>词汇“医药卫生体制改革”在特定场景下为固定表述形式，请确认此处的“医药卫生制度改革”是否存在不当。</explain>
      <paraID>455B54D0</paraID>
      <start>17</start>
      <end>25</end>
      <status>unmodified</status>
      <modifiedWord/>
      <trackRevisions>false</trackRevisions>
    </reviewItem>
    <reviewItem>
      <errorID>b7a7cee5-546b-479f-b379-6d8bbd2fd2fa</errorID>
      <errorWord>医疗卫生强基工程</errorWord>
      <group>L1_Political</group>
      <groupName>政治性问题</groupName>
      <ability>L2_Keyword</ability>
      <abilityName>固定表述</abilityName>
      <candidateList>
        <item>医疗卫生“强基工程”</item>
      </candidateList>
      <explain>注意检查当前固定表述标点是否使用规范。</explain>
      <paraID>2A03A76D</paraID>
      <start>13</start>
      <end>21</end>
      <status>unmodified</status>
      <modifiedWord/>
      <trackRevisions>false</trackRevisions>
    </reviewItem>
    <reviewItem>
      <errorID>f452ae7d-b779-4db9-8a09-52476363e0ae</errorID>
      <errorWord>群众体育和竞技体育发展</errorWord>
      <group>L1_Political</group>
      <groupName>政治性问题</groupName>
      <ability>L2_Keyword</ability>
      <abilityName>固定表述</abilityName>
      <candidateList>
        <item>群众体育和竞技体育全面发展</item>
      </candidateList>
      <explain>词汇“群众体育和竞技体育全面发展”在特定场景下为固定表述形式，请确认此处的“群众体育和竞技体育发展”是否存在不当。</explain>
      <paraID>71B6C6D0</paraID>
      <start>4</start>
      <end>15</end>
      <status>unmodified</status>
      <modifiedWord/>
      <trackRevisions>false</trackRevisions>
    </reviewItem>
    <reviewItem>
      <errorID>bcc0b840-cd29-41c8-a336-7a6ab1fdd7dd</errorID>
      <errorWord>保障性租赁房</errorWord>
      <group>L1_Political</group>
      <groupName>政治性问题</groupName>
      <ability>L2_Keyword</ability>
      <abilityName>固定表述</abilityName>
      <candidateList>
        <item>保障性租赁住房</item>
      </candidateList>
      <explain>词汇“保障性租赁住房”在特定场景下为固定表述形式，请确认此处的“保障性租赁房”是否存在不当。</explain>
      <paraID>2A6D2812</paraID>
      <start>18</start>
      <end>24</end>
      <status>unmodified</status>
      <modifiedWord/>
      <trackRevisions>false</trackRevisions>
    </reviewItem>
    <reviewItem>
      <errorID>3351d189-a5b0-4525-a32a-e50ec955d6fe</errorID>
      <errorWord>安全生产治本攻坚行动</errorWord>
      <group>L1_Political</group>
      <groupName>政治性问题</groupName>
      <ability>L2_Keyword</ability>
      <abilityName>固定表述</abilityName>
      <candidateList>
        <item>安全生产治本攻坚三年行动</item>
      </candidateList>
      <explain>词汇“安全生产治本攻坚三年行动”在特定场景下为固定表述形式，请确认此处的“安全生产治本攻坚行动”是否存在不当。</explain>
      <paraID>  61B864</paraID>
      <start>13</start>
      <end>23</end>
      <status>unmodified</status>
      <modifiedWord/>
      <trackRevisions>false</trackRevisions>
    </reviewItem>
    <reviewItem>
      <errorID>88d33052-388e-402a-9f23-e694e65f0f1a</errorID>
      <errorWord>社会信用系统建设</errorWord>
      <group>L1_Political</group>
      <groupName>政治性问题</groupName>
      <ability>L2_Keyword</ability>
      <abilityName>固定表述</abilityName>
      <candidateList>
        <item>社会信用体系建设</item>
      </candidateList>
      <explain>词汇“社会信用体系建设”在特定场景下为固定表述形式，请确认此处的“社会信用系统建设”是否存在不当。</explain>
      <paraID>195C52A4</paraID>
      <start>118</start>
      <end>126</end>
      <status>unmodified</status>
      <modifiedWord/>
      <trackRevisions>false</trackRevisions>
    </reviewItem>
    <reviewItem>
      <errorID>0377cdf4-02a5-4836-9bc0-1b0c974053ff</errorID>
      <errorWord>增强“四个意识”，坚定“四个自信”，做到“两个维护”</errorWord>
      <group>L1_Political</group>
      <groupName>政治性问题</groupName>
      <ability>L2_Keyword</ability>
      <abilityName>固定表述</abilityName>
      <candidateList>
        <item>增强“四个意识”、坚定“四个自信”、做到“两个维护”</item>
      </candidateList>
      <explain>注意检查当前固定表述标点是否使用规范。</explain>
      <paraID>579F9057</paraID>
      <start>42</start>
      <end>68</end>
      <status>unmodified</status>
      <modifiedWord/>
      <trackRevisions>false</trackRevisions>
    </reviewItem>
    <reviewItem>
      <errorID>0aa85b76-95b8-40b0-8926-2e7b86255cea</errorID>
      <errorWord>接</errorWord>
      <group>L1_Word</group>
      <groupName>字词问题</groupName>
      <ability>L2_Typo</ability>
      <abilityName>字词错误</abilityName>
      <candidateList>
        <item>接和</item>
      </candidateList>
      <explain/>
      <paraID>543FB48D</paraID>
      <start>55</start>
      <end>56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8D94FB-FF08-4A6D-BE14-A167886C4354}">
  <ds:schemaRefs/>
</ds:datastoreItem>
</file>

<file path=customXml/itemProps3.xml><?xml version="1.0" encoding="utf-8"?>
<ds:datastoreItem xmlns:ds="http://schemas.openxmlformats.org/officeDocument/2006/customXml" ds:itemID="{43EADA05-8747-4D7E-8D0F-4A94241874DE}">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11139</Words>
  <Characters>11625</Characters>
  <Lines>1500</Lines>
  <Paragraphs>647</Paragraphs>
  <TotalTime>0</TotalTime>
  <ScaleCrop>false</ScaleCrop>
  <LinksUpToDate>false</LinksUpToDate>
  <CharactersWithSpaces>12044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2025-12-24T13:21:00Z</dcterms:created>
  <dc:creator>lenovo</dc:creator>
  <cp:lastModifiedBy>初醒</cp:lastModifiedBy>
  <cp:lastPrinted>2026-01-13T09:06:00Z</cp:lastPrinted>
  <dcterms:modified xsi:type="dcterms:W3CDTF">2026-05-09T02:56:09Z</dcterms:modified>
  <cp:revision>468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eyJoZGlkIjoiMWNhMWNkMzgzOWFlOWY2MjhmZjRiOTEzY2Y4Mzc4YmEiLCJ1c2VySWQiOiI0NjExMDY0NTUifQ==</vt:lpwstr>
  </property>
  <property fmtid="{D5CDD505-2E9C-101B-9397-08002B2CF9AE}" pid="3" name="KSOProductBuildVer">
    <vt:lpwstr>2052-12.1.0.25865</vt:lpwstr>
  </property>
  <property fmtid="{D5CDD505-2E9C-101B-9397-08002B2CF9AE}" pid="4" name="ICV">
    <vt:lpwstr>2662B448C13E4B1C9595A703CC90E9CE_13</vt:lpwstr>
  </property>
</Properties>
</file>