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0F31C">
      <w:pPr>
        <w:keepNext w:val="0"/>
        <w:keepLines w:val="0"/>
        <w:pageBreakBefore w:val="0"/>
        <w:widowControl/>
        <w:wordWrap/>
        <w:overflowPunct/>
        <w:topLinePunct w:val="0"/>
        <w:bidi w:val="0"/>
        <w:adjustRightInd w:val="0"/>
        <w:snapToGrid w:val="0"/>
        <w:spacing w:line="560" w:lineRule="exact"/>
        <w:jc w:val="center"/>
        <w:rPr>
          <w:rFonts w:hint="eastAsia" w:ascii="方正大标宋简体" w:hAnsi="方正大标宋简体" w:eastAsia="方正大标宋简体" w:cs="方正大标宋简体"/>
          <w:bCs/>
          <w:sz w:val="44"/>
          <w:szCs w:val="44"/>
        </w:rPr>
      </w:pPr>
      <w:r>
        <w:rPr>
          <w:rFonts w:hint="eastAsia" w:ascii="方正大标宋简体" w:hAnsi="方正大标宋简体" w:eastAsia="方正大标宋简体" w:cs="方正大标宋简体"/>
          <w:bCs/>
          <w:sz w:val="44"/>
          <w:szCs w:val="44"/>
        </w:rPr>
        <w:t>202</w:t>
      </w:r>
      <w:r>
        <w:rPr>
          <w:rFonts w:hint="eastAsia" w:ascii="方正大标宋简体" w:hAnsi="方正大标宋简体" w:eastAsia="方正大标宋简体" w:cs="方正大标宋简体"/>
          <w:bCs/>
          <w:sz w:val="44"/>
          <w:szCs w:val="44"/>
          <w:lang w:val="en-US" w:eastAsia="zh-CN"/>
        </w:rPr>
        <w:t>5</w:t>
      </w:r>
      <w:r>
        <w:rPr>
          <w:rFonts w:hint="eastAsia" w:ascii="方正大标宋简体" w:hAnsi="方正大标宋简体" w:eastAsia="方正大标宋简体" w:cs="方正大标宋简体"/>
          <w:bCs/>
          <w:sz w:val="44"/>
          <w:szCs w:val="44"/>
        </w:rPr>
        <w:t>年度金湖县体育彩票公益金资助项目</w:t>
      </w:r>
    </w:p>
    <w:p w14:paraId="29A87AC0">
      <w:pPr>
        <w:keepNext w:val="0"/>
        <w:keepLines w:val="0"/>
        <w:pageBreakBefore w:val="0"/>
        <w:widowControl/>
        <w:wordWrap/>
        <w:overflowPunct/>
        <w:topLinePunct w:val="0"/>
        <w:bidi w:val="0"/>
        <w:adjustRightInd w:val="0"/>
        <w:snapToGrid w:val="0"/>
        <w:spacing w:line="560" w:lineRule="exact"/>
        <w:jc w:val="center"/>
        <w:rPr>
          <w:rFonts w:hint="eastAsia" w:ascii="方正大标宋简体" w:hAnsi="方正大标宋简体" w:eastAsia="方正大标宋简体" w:cs="方正大标宋简体"/>
          <w:kern w:val="0"/>
          <w:sz w:val="44"/>
          <w:szCs w:val="44"/>
        </w:rPr>
      </w:pPr>
      <w:r>
        <w:rPr>
          <w:rFonts w:hint="eastAsia" w:ascii="方正大标宋简体" w:hAnsi="方正大标宋简体" w:eastAsia="方正大标宋简体" w:cs="方正大标宋简体"/>
          <w:bCs/>
          <w:sz w:val="44"/>
          <w:szCs w:val="44"/>
        </w:rPr>
        <w:t>宣传公告</w:t>
      </w:r>
    </w:p>
    <w:p w14:paraId="0DFB3A23">
      <w:pPr>
        <w:keepNext w:val="0"/>
        <w:keepLines w:val="0"/>
        <w:pageBreakBefore w:val="0"/>
        <w:widowControl/>
        <w:kinsoku/>
        <w:wordWrap/>
        <w:overflowPunct/>
        <w:topLinePunct w:val="0"/>
        <w:autoSpaceDE/>
        <w:autoSpaceDN/>
        <w:bidi w:val="0"/>
        <w:adjustRightInd w:val="0"/>
        <w:snapToGrid w:val="0"/>
        <w:spacing w:line="560" w:lineRule="exact"/>
        <w:ind w:left="0" w:firstLine="640" w:firstLineChars="200"/>
        <w:textAlignment w:val="auto"/>
        <w:rPr>
          <w:rFonts w:hint="eastAsia" w:ascii="黑体" w:hAnsi="黑体" w:eastAsia="黑体" w:cs="黑体"/>
          <w:szCs w:val="32"/>
        </w:rPr>
      </w:pPr>
      <w:r>
        <w:rPr>
          <w:rFonts w:hint="eastAsia" w:ascii="黑体" w:hAnsi="黑体" w:eastAsia="黑体" w:cs="黑体"/>
          <w:szCs w:val="32"/>
        </w:rPr>
        <w:t>一、公益金资助项目信息公布情况</w:t>
      </w:r>
    </w:p>
    <w:p w14:paraId="42EC0A39">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楷体" w:hAnsi="楷体" w:eastAsia="楷体" w:cs="楷体"/>
          <w:szCs w:val="32"/>
        </w:rPr>
      </w:pPr>
      <w:r>
        <w:rPr>
          <w:rFonts w:hint="eastAsia" w:ascii="楷体" w:hAnsi="楷体" w:eastAsia="楷体" w:cs="楷体"/>
          <w:szCs w:val="32"/>
        </w:rPr>
        <w:t>（一）项目概况</w:t>
      </w:r>
    </w:p>
    <w:p w14:paraId="1077B7B7">
      <w:pPr>
        <w:keepNext w:val="0"/>
        <w:keepLines w:val="0"/>
        <w:pageBreakBefore w:val="0"/>
        <w:widowControl/>
        <w:kinsoku/>
        <w:wordWrap/>
        <w:overflowPunct/>
        <w:topLinePunct w:val="0"/>
        <w:autoSpaceDE/>
        <w:autoSpaceDN/>
        <w:bidi w:val="0"/>
        <w:adjustRightInd w:val="0"/>
        <w:snapToGrid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lang w:val="en-US" w:eastAsia="zh-CN"/>
        </w:rPr>
        <w:t>1.</w:t>
      </w:r>
      <w:r>
        <w:rPr>
          <w:rFonts w:hint="eastAsia" w:ascii="仿宋" w:hAnsi="仿宋" w:eastAsia="仿宋" w:cs="仿宋"/>
          <w:szCs w:val="32"/>
        </w:rPr>
        <w:t>项目名称</w:t>
      </w:r>
    </w:p>
    <w:p w14:paraId="60BFC2B9">
      <w:pPr>
        <w:keepNext w:val="0"/>
        <w:keepLines w:val="0"/>
        <w:pageBreakBefore w:val="0"/>
        <w:widowControl/>
        <w:kinsoku/>
        <w:wordWrap/>
        <w:overflowPunct/>
        <w:topLinePunct w:val="0"/>
        <w:autoSpaceDE/>
        <w:autoSpaceDN/>
        <w:bidi w:val="0"/>
        <w:adjustRightInd w:val="0"/>
        <w:snapToGrid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rPr>
        <w:t>（1）全民健身</w:t>
      </w:r>
      <w:r>
        <w:rPr>
          <w:rFonts w:hint="eastAsia" w:ascii="仿宋" w:hAnsi="仿宋" w:eastAsia="仿宋" w:cs="仿宋"/>
          <w:szCs w:val="32"/>
          <w:lang w:val="en-US" w:eastAsia="zh-CN"/>
        </w:rPr>
        <w:t>赛事</w:t>
      </w:r>
      <w:r>
        <w:rPr>
          <w:rFonts w:hint="eastAsia" w:ascii="仿宋" w:hAnsi="仿宋" w:eastAsia="仿宋" w:cs="仿宋"/>
          <w:szCs w:val="32"/>
        </w:rPr>
        <w:t>活动费用</w:t>
      </w:r>
    </w:p>
    <w:p w14:paraId="7E743699">
      <w:pPr>
        <w:keepNext w:val="0"/>
        <w:keepLines w:val="0"/>
        <w:pageBreakBefore w:val="0"/>
        <w:widowControl/>
        <w:kinsoku/>
        <w:wordWrap/>
        <w:overflowPunct/>
        <w:topLinePunct w:val="0"/>
        <w:autoSpaceDE/>
        <w:autoSpaceDN/>
        <w:bidi w:val="0"/>
        <w:adjustRightInd w:val="0"/>
        <w:snapToGrid w:val="0"/>
        <w:spacing w:line="560" w:lineRule="exact"/>
        <w:ind w:left="0" w:firstLine="640" w:firstLineChars="200"/>
        <w:textAlignment w:val="auto"/>
        <w:rPr>
          <w:rFonts w:hint="eastAsia" w:ascii="仿宋" w:hAnsi="仿宋" w:eastAsia="仿宋" w:cs="仿宋"/>
          <w:szCs w:val="32"/>
          <w:lang w:val="en-US" w:eastAsia="zh-CN"/>
        </w:rPr>
      </w:pPr>
      <w:r>
        <w:rPr>
          <w:rFonts w:hint="eastAsia" w:ascii="仿宋" w:hAnsi="仿宋" w:eastAsia="仿宋" w:cs="仿宋"/>
          <w:szCs w:val="32"/>
        </w:rPr>
        <w:t>（2）</w:t>
      </w:r>
      <w:r>
        <w:rPr>
          <w:rFonts w:hint="eastAsia" w:ascii="仿宋" w:hAnsi="仿宋" w:eastAsia="仿宋" w:cs="仿宋"/>
          <w:szCs w:val="32"/>
          <w:lang w:val="en-US" w:eastAsia="zh-CN"/>
        </w:rPr>
        <w:t>公共体育场地建设及设施维护、捐赠体育健身器材采购费用</w:t>
      </w:r>
    </w:p>
    <w:p w14:paraId="0A7ADC9A">
      <w:pPr>
        <w:keepNext w:val="0"/>
        <w:keepLines w:val="0"/>
        <w:pageBreakBefore w:val="0"/>
        <w:widowControl/>
        <w:kinsoku/>
        <w:wordWrap/>
        <w:overflowPunct/>
        <w:topLinePunct w:val="0"/>
        <w:autoSpaceDE/>
        <w:autoSpaceDN/>
        <w:bidi w:val="0"/>
        <w:adjustRightInd w:val="0"/>
        <w:snapToGrid w:val="0"/>
        <w:spacing w:line="560" w:lineRule="exact"/>
        <w:ind w:left="0" w:firstLine="640" w:firstLineChars="200"/>
        <w:textAlignment w:val="auto"/>
        <w:rPr>
          <w:rFonts w:hint="eastAsia" w:ascii="仿宋" w:hAnsi="仿宋" w:eastAsia="仿宋" w:cs="仿宋"/>
          <w:szCs w:val="32"/>
          <w:lang w:val="en-US" w:eastAsia="zh-CN"/>
        </w:rPr>
      </w:pPr>
      <w:r>
        <w:rPr>
          <w:rFonts w:hint="eastAsia" w:ascii="仿宋" w:hAnsi="仿宋" w:eastAsia="仿宋" w:cs="仿宋"/>
          <w:szCs w:val="32"/>
          <w:lang w:val="en-US" w:eastAsia="zh-CN"/>
        </w:rPr>
        <w:t>（3）竞技体育类费用</w:t>
      </w:r>
    </w:p>
    <w:p w14:paraId="57876B3F">
      <w:pPr>
        <w:keepNext w:val="0"/>
        <w:keepLines w:val="0"/>
        <w:pageBreakBefore w:val="0"/>
        <w:widowControl/>
        <w:kinsoku/>
        <w:wordWrap/>
        <w:overflowPunct/>
        <w:topLinePunct w:val="0"/>
        <w:autoSpaceDE/>
        <w:autoSpaceDN/>
        <w:bidi w:val="0"/>
        <w:adjustRightInd w:val="0"/>
        <w:snapToGrid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lang w:val="en-US" w:eastAsia="zh-CN"/>
        </w:rPr>
        <w:t>2.</w:t>
      </w:r>
      <w:r>
        <w:rPr>
          <w:rFonts w:hint="eastAsia" w:ascii="仿宋" w:hAnsi="仿宋" w:eastAsia="仿宋" w:cs="仿宋"/>
          <w:szCs w:val="32"/>
        </w:rPr>
        <w:t>项目单位</w:t>
      </w:r>
    </w:p>
    <w:p w14:paraId="668DE4E4">
      <w:pPr>
        <w:keepNext w:val="0"/>
        <w:keepLines w:val="0"/>
        <w:pageBreakBefore w:val="0"/>
        <w:widowControl/>
        <w:kinsoku/>
        <w:wordWrap/>
        <w:overflowPunct/>
        <w:topLinePunct w:val="0"/>
        <w:autoSpaceDE/>
        <w:autoSpaceDN/>
        <w:bidi w:val="0"/>
        <w:adjustRightInd w:val="0"/>
        <w:snapToGrid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rPr>
        <w:t>金湖县教育体育局</w:t>
      </w:r>
    </w:p>
    <w:p w14:paraId="76B1007C">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rPr>
        <w:t>3.项目总额</w:t>
      </w:r>
    </w:p>
    <w:p w14:paraId="6CF5EE3D">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szCs w:val="32"/>
          <w:lang w:val="en-US" w:eastAsia="zh-CN"/>
        </w:rPr>
      </w:pPr>
      <w:r>
        <w:rPr>
          <w:rFonts w:hint="eastAsia" w:ascii="仿宋" w:hAnsi="仿宋" w:eastAsia="仿宋" w:cs="仿宋"/>
          <w:szCs w:val="32"/>
          <w:lang w:val="en-US" w:eastAsia="zh-CN"/>
        </w:rPr>
        <w:t>310.3</w:t>
      </w:r>
      <w:r>
        <w:rPr>
          <w:rFonts w:hint="eastAsia" w:ascii="仿宋" w:hAnsi="仿宋" w:eastAsia="仿宋" w:cs="仿宋"/>
          <w:szCs w:val="32"/>
        </w:rPr>
        <w:t>万</w:t>
      </w:r>
      <w:r>
        <w:rPr>
          <w:rFonts w:hint="eastAsia" w:ascii="仿宋" w:hAnsi="仿宋" w:eastAsia="仿宋" w:cs="仿宋"/>
          <w:szCs w:val="32"/>
          <w:lang w:val="en-US" w:eastAsia="zh-CN"/>
        </w:rPr>
        <w:t>元</w:t>
      </w:r>
    </w:p>
    <w:p w14:paraId="0C27CE9C">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rPr>
        <w:t>4.项目时间</w:t>
      </w:r>
    </w:p>
    <w:p w14:paraId="437F615A">
      <w:pPr>
        <w:keepNext w:val="0"/>
        <w:keepLines w:val="0"/>
        <w:pageBreakBefore w:val="0"/>
        <w:kinsoku/>
        <w:wordWrap/>
        <w:overflowPunct/>
        <w:topLinePunct w:val="0"/>
        <w:autoSpaceDE/>
        <w:autoSpaceDN/>
        <w:bidi w:val="0"/>
        <w:spacing w:line="560" w:lineRule="exact"/>
        <w:ind w:left="0" w:firstLine="640" w:firstLineChars="200"/>
        <w:textAlignment w:val="auto"/>
        <w:rPr>
          <w:rFonts w:hint="default" w:ascii="仿宋" w:hAnsi="仿宋" w:eastAsia="仿宋" w:cs="仿宋"/>
          <w:szCs w:val="32"/>
          <w:lang w:val="en-US" w:eastAsia="zh-CN"/>
        </w:rPr>
      </w:pPr>
      <w:r>
        <w:rPr>
          <w:rFonts w:hint="eastAsia" w:ascii="仿宋" w:hAnsi="仿宋" w:eastAsia="仿宋" w:cs="仿宋"/>
          <w:szCs w:val="32"/>
        </w:rPr>
        <w:t>202</w:t>
      </w:r>
      <w:r>
        <w:rPr>
          <w:rFonts w:hint="eastAsia" w:ascii="仿宋" w:hAnsi="仿宋" w:eastAsia="仿宋" w:cs="仿宋"/>
          <w:szCs w:val="32"/>
          <w:lang w:val="en-US" w:eastAsia="zh-CN"/>
        </w:rPr>
        <w:t>5</w:t>
      </w:r>
      <w:r>
        <w:rPr>
          <w:rFonts w:hint="eastAsia" w:ascii="仿宋" w:hAnsi="仿宋" w:eastAsia="仿宋" w:cs="仿宋"/>
          <w:szCs w:val="32"/>
        </w:rPr>
        <w:t>年</w:t>
      </w:r>
      <w:r>
        <w:rPr>
          <w:rFonts w:hint="eastAsia" w:ascii="仿宋" w:hAnsi="仿宋" w:eastAsia="仿宋" w:cs="仿宋"/>
          <w:szCs w:val="32"/>
          <w:lang w:val="en-US" w:eastAsia="zh-CN"/>
        </w:rPr>
        <w:t>1月—12月</w:t>
      </w:r>
    </w:p>
    <w:p w14:paraId="487E8F35">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rPr>
        <w:t>5.项目联络人</w:t>
      </w:r>
    </w:p>
    <w:p w14:paraId="394E8E79">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lang w:val="en-US" w:eastAsia="zh-CN"/>
        </w:rPr>
        <w:t>李成宏</w:t>
      </w:r>
      <w:r>
        <w:rPr>
          <w:rFonts w:hint="eastAsia" w:ascii="仿宋" w:hAnsi="仿宋" w:eastAsia="仿宋" w:cs="仿宋"/>
          <w:szCs w:val="32"/>
        </w:rPr>
        <w:t xml:space="preserve">  郭凯旺</w:t>
      </w:r>
    </w:p>
    <w:p w14:paraId="77A708E3">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楷体" w:hAnsi="楷体" w:eastAsia="楷体" w:cs="楷体"/>
          <w:szCs w:val="32"/>
        </w:rPr>
      </w:pPr>
      <w:r>
        <w:rPr>
          <w:rFonts w:hint="eastAsia" w:ascii="楷体" w:hAnsi="楷体" w:eastAsia="楷体" w:cs="楷体"/>
          <w:szCs w:val="32"/>
        </w:rPr>
        <w:t>（二）</w:t>
      </w:r>
      <w:r>
        <w:rPr>
          <w:rFonts w:hint="eastAsia" w:ascii="楷体" w:hAnsi="楷体" w:eastAsia="楷体" w:cs="楷体"/>
          <w:szCs w:val="32"/>
          <w:lang w:val="en-US" w:eastAsia="zh-CN"/>
        </w:rPr>
        <w:t>体彩</w:t>
      </w:r>
      <w:r>
        <w:rPr>
          <w:rFonts w:hint="eastAsia" w:ascii="楷体" w:hAnsi="楷体" w:eastAsia="楷体" w:cs="楷体"/>
          <w:szCs w:val="32"/>
        </w:rPr>
        <w:t>公益金资助项目</w:t>
      </w:r>
      <w:r>
        <w:rPr>
          <w:rFonts w:hint="eastAsia" w:ascii="楷体" w:hAnsi="楷体" w:eastAsia="楷体" w:cs="楷体"/>
          <w:szCs w:val="32"/>
          <w:lang w:val="en-US" w:eastAsia="zh-CN"/>
        </w:rPr>
        <w:t>实施</w:t>
      </w:r>
      <w:r>
        <w:rPr>
          <w:rFonts w:hint="eastAsia" w:ascii="楷体" w:hAnsi="楷体" w:eastAsia="楷体" w:cs="楷体"/>
          <w:szCs w:val="32"/>
        </w:rPr>
        <w:t>效果</w:t>
      </w:r>
    </w:p>
    <w:p w14:paraId="084E670A">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lang w:val="en-US" w:eastAsia="zh-CN"/>
        </w:rPr>
        <w:t>1.</w:t>
      </w:r>
      <w:r>
        <w:rPr>
          <w:rFonts w:hint="eastAsia" w:ascii="仿宋" w:hAnsi="仿宋" w:eastAsia="仿宋" w:cs="仿宋"/>
          <w:szCs w:val="32"/>
        </w:rPr>
        <w:t>公益金资助项目的社会效益总体描述。</w:t>
      </w:r>
    </w:p>
    <w:p w14:paraId="532C2F97">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b w:val="0"/>
          <w:bCs w:val="0"/>
          <w:sz w:val="32"/>
          <w:szCs w:val="32"/>
          <w:lang w:eastAsia="zh-CN"/>
        </w:rPr>
      </w:pPr>
      <w:r>
        <w:rPr>
          <w:rFonts w:hint="eastAsia" w:ascii="仿宋" w:hAnsi="仿宋" w:eastAsia="仿宋" w:cs="仿宋"/>
          <w:b w:val="0"/>
          <w:bCs w:val="0"/>
          <w:color w:val="000000"/>
          <w:kern w:val="0"/>
          <w:sz w:val="32"/>
          <w:szCs w:val="32"/>
        </w:rPr>
        <w:t>在体育彩票公益金的支持下，</w:t>
      </w:r>
      <w:r>
        <w:rPr>
          <w:rFonts w:hint="eastAsia" w:ascii="仿宋" w:hAnsi="仿宋" w:eastAsia="仿宋"/>
          <w:b w:val="0"/>
          <w:bCs w:val="0"/>
          <w:sz w:val="32"/>
          <w:szCs w:val="32"/>
        </w:rPr>
        <w:t>我县</w:t>
      </w:r>
      <w:r>
        <w:rPr>
          <w:rFonts w:hint="eastAsia" w:ascii="仿宋" w:hAnsi="仿宋" w:eastAsia="仿宋"/>
          <w:b w:val="0"/>
          <w:bCs w:val="0"/>
          <w:sz w:val="32"/>
          <w:szCs w:val="32"/>
          <w:lang w:val="en-US" w:eastAsia="zh-CN"/>
        </w:rPr>
        <w:t>体育设施持续完善，赛事活动丰富开展，全民健身在金湖蔚然成风。翠湖园等城区公园每日清晨人头攒动，羽毛球、乒乓球、健身操、健步走等项目各具人气。县体育馆、体育中心等大型场馆场地利用率大幅提升。截至</w:t>
      </w:r>
      <w:r>
        <w:rPr>
          <w:rFonts w:hint="eastAsia" w:ascii="仿宋" w:hAnsi="仿宋" w:eastAsia="仿宋"/>
          <w:b w:val="0"/>
          <w:bCs w:val="0"/>
          <w:sz w:val="32"/>
          <w:szCs w:val="32"/>
        </w:rPr>
        <w:t>202</w:t>
      </w:r>
      <w:r>
        <w:rPr>
          <w:rFonts w:hint="eastAsia" w:ascii="仿宋" w:hAnsi="仿宋" w:eastAsia="仿宋"/>
          <w:b w:val="0"/>
          <w:bCs w:val="0"/>
          <w:sz w:val="32"/>
          <w:szCs w:val="32"/>
          <w:lang w:val="en-US" w:eastAsia="zh-CN"/>
        </w:rPr>
        <w:t>5</w:t>
      </w:r>
      <w:r>
        <w:rPr>
          <w:rFonts w:hint="eastAsia" w:ascii="仿宋" w:hAnsi="仿宋" w:eastAsia="仿宋"/>
          <w:b w:val="0"/>
          <w:bCs w:val="0"/>
          <w:sz w:val="32"/>
          <w:szCs w:val="32"/>
        </w:rPr>
        <w:t>年</w:t>
      </w:r>
      <w:r>
        <w:rPr>
          <w:rFonts w:hint="eastAsia" w:ascii="仿宋" w:hAnsi="仿宋" w:eastAsia="仿宋"/>
          <w:b w:val="0"/>
          <w:bCs w:val="0"/>
          <w:sz w:val="32"/>
          <w:szCs w:val="32"/>
          <w:lang w:val="en-US" w:eastAsia="zh-CN"/>
        </w:rPr>
        <w:t>底，</w:t>
      </w:r>
      <w:r>
        <w:rPr>
          <w:rFonts w:hint="eastAsia" w:ascii="仿宋" w:hAnsi="仿宋" w:eastAsia="仿宋"/>
          <w:b w:val="0"/>
          <w:bCs w:val="0"/>
          <w:sz w:val="32"/>
          <w:szCs w:val="32"/>
        </w:rPr>
        <w:t>全县</w:t>
      </w:r>
      <w:r>
        <w:rPr>
          <w:rFonts w:hint="eastAsia" w:ascii="仿宋" w:hAnsi="仿宋" w:eastAsia="仿宋"/>
          <w:b w:val="0"/>
          <w:bCs w:val="0"/>
          <w:sz w:val="32"/>
          <w:szCs w:val="32"/>
          <w:lang w:val="en-US" w:eastAsia="zh-CN"/>
        </w:rPr>
        <w:t>人均体育场地面积达4.66平方米</w:t>
      </w:r>
      <w:r>
        <w:rPr>
          <w:rFonts w:hint="eastAsia" w:ascii="仿宋" w:hAnsi="仿宋" w:eastAsia="仿宋"/>
          <w:b w:val="0"/>
          <w:bCs w:val="0"/>
          <w:sz w:val="32"/>
          <w:szCs w:val="32"/>
        </w:rPr>
        <w:t>，</w:t>
      </w:r>
      <w:bookmarkStart w:id="0" w:name="_GoBack"/>
      <w:bookmarkEnd w:id="0"/>
      <w:r>
        <w:rPr>
          <w:rFonts w:hint="eastAsia" w:ascii="仿宋" w:hAnsi="仿宋" w:eastAsia="仿宋"/>
          <w:b w:val="0"/>
          <w:bCs w:val="0"/>
          <w:sz w:val="32"/>
          <w:szCs w:val="32"/>
          <w:lang w:val="en-US" w:eastAsia="zh-CN"/>
        </w:rPr>
        <w:t>全</w:t>
      </w:r>
      <w:r>
        <w:rPr>
          <w:rFonts w:hint="eastAsia" w:ascii="仿宋" w:hAnsi="仿宋" w:eastAsia="仿宋"/>
          <w:b w:val="0"/>
          <w:bCs w:val="0"/>
          <w:sz w:val="32"/>
          <w:szCs w:val="32"/>
        </w:rPr>
        <w:t>民体质持续增强，人民群众的健康活力愈发彰显</w:t>
      </w:r>
      <w:r>
        <w:rPr>
          <w:rFonts w:hint="eastAsia" w:ascii="仿宋" w:hAnsi="仿宋" w:eastAsia="仿宋"/>
          <w:b w:val="0"/>
          <w:bCs w:val="0"/>
          <w:sz w:val="32"/>
          <w:szCs w:val="32"/>
          <w:lang w:eastAsia="zh-CN"/>
        </w:rPr>
        <w:t>。</w:t>
      </w:r>
    </w:p>
    <w:p w14:paraId="0C745DA1">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szCs w:val="32"/>
        </w:rPr>
      </w:pPr>
      <w:r>
        <w:rPr>
          <w:rFonts w:hint="eastAsia" w:ascii="仿宋" w:hAnsi="仿宋" w:eastAsia="仿宋" w:cs="仿宋"/>
          <w:szCs w:val="32"/>
          <w:lang w:val="en-US" w:eastAsia="zh-CN"/>
        </w:rPr>
        <w:t>2.</w:t>
      </w:r>
      <w:r>
        <w:rPr>
          <w:rFonts w:hint="eastAsia" w:ascii="仿宋" w:hAnsi="仿宋" w:eastAsia="仿宋" w:cs="仿宋"/>
          <w:szCs w:val="32"/>
        </w:rPr>
        <w:t>项目具体实施内容及达到的效果描述。</w:t>
      </w:r>
    </w:p>
    <w:p w14:paraId="3F6135F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szCs w:val="32"/>
          <w:lang w:eastAsia="zh-CN"/>
        </w:rPr>
      </w:pPr>
      <w:r>
        <w:rPr>
          <w:rFonts w:hint="eastAsia" w:ascii="仿宋" w:hAnsi="仿宋" w:eastAsia="仿宋" w:cs="仿宋"/>
          <w:szCs w:val="32"/>
        </w:rPr>
        <w:t>项目共有</w:t>
      </w:r>
      <w:r>
        <w:rPr>
          <w:rFonts w:hint="eastAsia" w:ascii="仿宋" w:hAnsi="仿宋" w:eastAsia="仿宋" w:cs="仿宋"/>
          <w:szCs w:val="32"/>
          <w:lang w:val="en-US" w:eastAsia="zh-CN"/>
        </w:rPr>
        <w:t>4</w:t>
      </w:r>
      <w:r>
        <w:rPr>
          <w:rFonts w:hint="eastAsia" w:ascii="仿宋" w:hAnsi="仿宋" w:eastAsia="仿宋" w:cs="仿宋"/>
          <w:szCs w:val="32"/>
        </w:rPr>
        <w:t>项内容</w:t>
      </w:r>
      <w:r>
        <w:rPr>
          <w:rFonts w:hint="eastAsia" w:ascii="仿宋" w:hAnsi="仿宋" w:eastAsia="仿宋" w:cs="仿宋"/>
          <w:szCs w:val="32"/>
          <w:lang w:eastAsia="zh-CN"/>
        </w:rPr>
        <w:t>：</w:t>
      </w:r>
    </w:p>
    <w:p w14:paraId="577F7AC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仿宋"/>
          <w:sz w:val="32"/>
          <w:szCs w:val="32"/>
          <w:lang w:val="en-US" w:eastAsia="zh-CN"/>
        </w:rPr>
      </w:pPr>
      <w:r>
        <w:rPr>
          <w:rFonts w:hint="eastAsia" w:ascii="楷体" w:hAnsi="楷体" w:eastAsia="楷体" w:cs="楷体"/>
          <w:b w:val="0"/>
          <w:bCs w:val="0"/>
          <w:sz w:val="32"/>
          <w:szCs w:val="32"/>
          <w:lang w:val="en-US" w:eastAsia="zh-CN"/>
        </w:rPr>
        <w:t>（1）全民健身运动蓬勃发展。</w:t>
      </w:r>
      <w:r>
        <w:rPr>
          <w:rFonts w:hint="eastAsia" w:ascii="仿宋" w:hAnsi="仿宋" w:eastAsia="仿宋" w:cs="仿宋"/>
          <w:sz w:val="32"/>
          <w:szCs w:val="32"/>
          <w:lang w:val="en-US" w:eastAsia="zh-CN"/>
        </w:rPr>
        <w:t>坚持以品牌赛事为引领，践行“体育+”“+体育”融合发展理念。先后组织开展了第八届“</w:t>
      </w:r>
      <w:r>
        <w:rPr>
          <w:rFonts w:hint="eastAsia" w:ascii="仿宋" w:hAnsi="仿宋" w:eastAsia="仿宋" w:cs="仿宋"/>
          <w:color w:val="000000"/>
          <w:sz w:val="32"/>
          <w:szCs w:val="32"/>
          <w:lang w:val="en-US" w:eastAsia="zh-CN"/>
        </w:rPr>
        <w:t>吕</w:t>
      </w:r>
      <w:r>
        <w:rPr>
          <w:rFonts w:hint="eastAsia" w:ascii="仿宋" w:hAnsi="仿宋" w:eastAsia="仿宋" w:cs="仿宋"/>
          <w:sz w:val="32"/>
          <w:szCs w:val="32"/>
          <w:lang w:val="en-US" w:eastAsia="zh-CN"/>
        </w:rPr>
        <w:t>良·棋盘古镇杯”象棋公开赛、社区运动会暨第二届篮球联赛、第一届职工排球联赛、“我们的节日·重阳”系列健身展示活动等，全年共开展全民健身赛事活动137场次，惠及群众8.5</w:t>
      </w:r>
      <w:r>
        <w:rPr>
          <w:rFonts w:hint="default" w:ascii="仿宋" w:hAnsi="仿宋" w:eastAsia="仿宋" w:cs="仿宋"/>
          <w:sz w:val="32"/>
          <w:szCs w:val="32"/>
          <w:lang w:eastAsia="zh-CN"/>
        </w:rPr>
        <w:t>万</w:t>
      </w:r>
      <w:r>
        <w:rPr>
          <w:rFonts w:hint="eastAsia" w:ascii="仿宋" w:hAnsi="仿宋" w:eastAsia="仿宋" w:cs="仿宋"/>
          <w:sz w:val="32"/>
          <w:szCs w:val="32"/>
          <w:lang w:val="en-US" w:eastAsia="zh-CN"/>
        </w:rPr>
        <w:t>人次。</w:t>
      </w:r>
    </w:p>
    <w:p w14:paraId="445C5699">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 w:hAnsi="仿宋" w:eastAsia="仿宋" w:cs="Times New Roman"/>
          <w:kern w:val="0"/>
          <w:sz w:val="32"/>
          <w:szCs w:val="32"/>
          <w:lang w:val="en-US" w:eastAsia="zh-CN" w:bidi="ar-SA"/>
        </w:rPr>
      </w:pPr>
      <w:r>
        <w:rPr>
          <w:rFonts w:hint="eastAsia" w:ascii="楷体" w:hAnsi="楷体" w:eastAsia="楷体" w:cs="楷体"/>
          <w:b w:val="0"/>
          <w:bCs w:val="0"/>
          <w:color w:val="000000"/>
          <w:kern w:val="0"/>
          <w:sz w:val="32"/>
          <w:szCs w:val="32"/>
          <w:lang w:val="en-US" w:eastAsia="zh-CN"/>
        </w:rPr>
        <w:t>（2）省市民生实事项目高效落地。</w:t>
      </w:r>
      <w:r>
        <w:rPr>
          <w:rFonts w:hint="eastAsia" w:ascii="仿宋" w:hAnsi="仿宋" w:eastAsia="仿宋" w:cs="仿宋"/>
          <w:b/>
          <w:bCs/>
          <w:sz w:val="32"/>
          <w:szCs w:val="32"/>
          <w:lang w:val="en-US" w:eastAsia="zh-CN"/>
        </w:rPr>
        <w:t>一</w:t>
      </w:r>
      <w:r>
        <w:rPr>
          <w:rFonts w:hint="eastAsia" w:ascii="仿宋" w:hAnsi="仿宋" w:eastAsia="仿宋" w:cs="Times New Roman"/>
          <w:b/>
          <w:bCs/>
          <w:kern w:val="0"/>
          <w:sz w:val="32"/>
          <w:szCs w:val="32"/>
          <w:lang w:val="en-US" w:eastAsia="zh-CN" w:bidi="ar-SA"/>
        </w:rPr>
        <w:t>是</w:t>
      </w:r>
      <w:r>
        <w:rPr>
          <w:rFonts w:hint="eastAsia" w:ascii="仿宋" w:hAnsi="仿宋" w:eastAsia="仿宋" w:cs="Times New Roman"/>
          <w:kern w:val="0"/>
          <w:sz w:val="32"/>
          <w:szCs w:val="32"/>
          <w:lang w:val="en-US" w:eastAsia="zh-CN" w:bidi="ar-SA"/>
        </w:rPr>
        <w:t>新改扩建起点公园篮球场、金湖体育馆篮球场、人民公园乒乓球场等8片运动场地，投放乒乓球桌48张，新增球场灯光2片，安装健身路径28套。</w:t>
      </w:r>
      <w:r>
        <w:rPr>
          <w:rFonts w:hint="eastAsia" w:ascii="仿宋" w:hAnsi="仿宋" w:eastAsia="仿宋" w:cs="Times New Roman"/>
          <w:b/>
          <w:bCs/>
          <w:kern w:val="0"/>
          <w:sz w:val="32"/>
          <w:szCs w:val="32"/>
          <w:lang w:val="en-US" w:eastAsia="zh-CN" w:bidi="ar-SA"/>
        </w:rPr>
        <w:t>二是</w:t>
      </w:r>
      <w:r>
        <w:rPr>
          <w:rFonts w:hint="default" w:ascii="仿宋" w:hAnsi="仿宋" w:eastAsia="仿宋" w:cs="Times New Roman"/>
          <w:kern w:val="0"/>
          <w:sz w:val="32"/>
          <w:szCs w:val="32"/>
          <w:lang w:eastAsia="zh-CN" w:bidi="ar-SA"/>
        </w:rPr>
        <w:t>强化</w:t>
      </w:r>
      <w:r>
        <w:rPr>
          <w:rFonts w:hint="eastAsia" w:ascii="仿宋" w:hAnsi="仿宋" w:eastAsia="仿宋" w:cs="Times New Roman"/>
          <w:kern w:val="0"/>
          <w:sz w:val="32"/>
          <w:szCs w:val="32"/>
          <w:lang w:val="en-US" w:eastAsia="zh-CN" w:bidi="ar-SA"/>
        </w:rPr>
        <w:t>全县</w:t>
      </w:r>
      <w:r>
        <w:rPr>
          <w:rFonts w:hint="default" w:ascii="仿宋" w:hAnsi="仿宋" w:eastAsia="仿宋" w:cs="Times New Roman"/>
          <w:kern w:val="0"/>
          <w:sz w:val="32"/>
          <w:szCs w:val="32"/>
          <w:lang w:eastAsia="zh-CN" w:bidi="ar-SA"/>
        </w:rPr>
        <w:t>室外</w:t>
      </w:r>
      <w:r>
        <w:rPr>
          <w:rFonts w:hint="eastAsia" w:ascii="仿宋" w:hAnsi="仿宋" w:eastAsia="仿宋" w:cs="Times New Roman"/>
          <w:kern w:val="0"/>
          <w:sz w:val="32"/>
          <w:szCs w:val="32"/>
          <w:lang w:val="en-US" w:eastAsia="zh-CN" w:bidi="ar-SA"/>
        </w:rPr>
        <w:t>健身器材</w:t>
      </w:r>
      <w:r>
        <w:rPr>
          <w:rFonts w:hint="default" w:ascii="仿宋" w:hAnsi="仿宋" w:eastAsia="仿宋" w:cs="Times New Roman"/>
          <w:kern w:val="0"/>
          <w:sz w:val="32"/>
          <w:szCs w:val="32"/>
          <w:lang w:eastAsia="zh-CN" w:bidi="ar-SA"/>
        </w:rPr>
        <w:t>整改工作</w:t>
      </w:r>
      <w:r>
        <w:rPr>
          <w:rFonts w:hint="eastAsia" w:ascii="仿宋" w:hAnsi="仿宋" w:eastAsia="仿宋" w:cs="Times New Roman"/>
          <w:kern w:val="0"/>
          <w:sz w:val="32"/>
          <w:szCs w:val="32"/>
          <w:lang w:val="en-US" w:eastAsia="zh-CN" w:bidi="ar-SA"/>
        </w:rPr>
        <w:t>，2025年巡检全民健身站点322个，排查健身设施器材2163件，拆除过期损坏器材108个点位，修正健身站点定位错误18个。</w:t>
      </w:r>
    </w:p>
    <w:p w14:paraId="642DBA5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 w:hAnsi="仿宋" w:eastAsia="仿宋" w:cs="仿宋"/>
          <w:b w:val="0"/>
          <w:bCs w:val="0"/>
          <w:sz w:val="32"/>
          <w:szCs w:val="32"/>
          <w:lang w:val="en-US" w:eastAsia="zh-CN"/>
        </w:rPr>
      </w:pPr>
      <w:r>
        <w:rPr>
          <w:rFonts w:hint="eastAsia" w:ascii="楷体" w:hAnsi="楷体" w:eastAsia="楷体" w:cs="楷体"/>
          <w:b w:val="0"/>
          <w:bCs w:val="0"/>
          <w:kern w:val="0"/>
          <w:sz w:val="32"/>
          <w:szCs w:val="32"/>
          <w:lang w:val="en-US" w:eastAsia="zh-CN" w:bidi="ar-SA"/>
        </w:rPr>
        <w:t>（3）</w:t>
      </w:r>
      <w:r>
        <w:rPr>
          <w:rFonts w:hint="eastAsia" w:ascii="楷体" w:hAnsi="楷体" w:eastAsia="楷体" w:cs="楷体"/>
          <w:b w:val="0"/>
          <w:bCs w:val="0"/>
          <w:sz w:val="32"/>
          <w:szCs w:val="32"/>
          <w:lang w:val="en-US" w:eastAsia="zh-CN"/>
        </w:rPr>
        <w:t>大型体育赛事保障有力。</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12</w:t>
      </w:r>
      <w:r>
        <w:rPr>
          <w:rFonts w:hint="eastAsia" w:ascii="仿宋" w:hAnsi="仿宋" w:eastAsia="仿宋" w:cs="仿宋"/>
          <w:sz w:val="32"/>
          <w:szCs w:val="32"/>
          <w:lang w:eastAsia="zh-CN"/>
        </w:rPr>
        <w:t>日</w:t>
      </w:r>
      <w:r>
        <w:rPr>
          <w:rFonts w:hint="eastAsia" w:ascii="仿宋" w:hAnsi="仿宋" w:eastAsia="仿宋" w:cs="仿宋"/>
          <w:sz w:val="32"/>
          <w:szCs w:val="32"/>
          <w:lang w:val="en-US" w:eastAsia="zh-CN"/>
        </w:rPr>
        <w:t>至14</w:t>
      </w:r>
      <w:r>
        <w:rPr>
          <w:rFonts w:hint="eastAsia" w:ascii="仿宋" w:hAnsi="仿宋" w:eastAsia="仿宋" w:cs="仿宋"/>
          <w:sz w:val="32"/>
          <w:szCs w:val="32"/>
          <w:lang w:eastAsia="zh-CN"/>
        </w:rPr>
        <w:t>日圆满完成江苏省</w:t>
      </w:r>
      <w:r>
        <w:rPr>
          <w:rFonts w:hint="eastAsia" w:ascii="仿宋" w:hAnsi="仿宋" w:eastAsia="仿宋" w:cs="仿宋"/>
          <w:sz w:val="32"/>
          <w:szCs w:val="32"/>
          <w:lang w:val="en-US" w:eastAsia="zh-CN"/>
        </w:rPr>
        <w:t>青少年田径（跳高跳远）项群</w:t>
      </w:r>
      <w:r>
        <w:rPr>
          <w:rFonts w:hint="eastAsia" w:ascii="仿宋" w:hAnsi="仿宋" w:eastAsia="仿宋" w:cs="仿宋"/>
          <w:sz w:val="32"/>
          <w:szCs w:val="32"/>
          <w:lang w:eastAsia="zh-CN"/>
        </w:rPr>
        <w:t>标赛，</w:t>
      </w:r>
      <w:r>
        <w:rPr>
          <w:rFonts w:hint="eastAsia" w:ascii="仿宋" w:hAnsi="仿宋" w:eastAsia="仿宋" w:cs="仿宋"/>
          <w:sz w:val="32"/>
          <w:szCs w:val="32"/>
          <w:lang w:val="en-US" w:eastAsia="zh-CN"/>
        </w:rPr>
        <w:t>该项赛事</w:t>
      </w:r>
      <w:r>
        <w:rPr>
          <w:rFonts w:hint="eastAsia" w:ascii="仿宋" w:hAnsi="仿宋" w:eastAsia="仿宋" w:cs="仿宋"/>
          <w:sz w:val="32"/>
          <w:szCs w:val="32"/>
        </w:rPr>
        <w:t>有来自全省</w:t>
      </w:r>
      <w:r>
        <w:rPr>
          <w:rFonts w:hint="eastAsia" w:ascii="仿宋" w:hAnsi="仿宋" w:eastAsia="仿宋" w:cs="仿宋"/>
          <w:sz w:val="32"/>
          <w:szCs w:val="32"/>
          <w:lang w:val="en-US" w:eastAsia="zh-CN"/>
        </w:rPr>
        <w:t>十三个地市近400</w:t>
      </w:r>
      <w:r>
        <w:rPr>
          <w:rFonts w:hint="eastAsia" w:ascii="仿宋" w:hAnsi="仿宋" w:eastAsia="仿宋" w:cs="仿宋"/>
          <w:sz w:val="32"/>
          <w:szCs w:val="32"/>
        </w:rPr>
        <w:t>名教练员、裁判员、运动员参赛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出色的赛事组织和后勤保障受到各项大赛组委会和参赛队的高度好评。</w:t>
      </w:r>
      <w:r>
        <w:rPr>
          <w:rFonts w:hint="eastAsia" w:ascii="仿宋" w:hAnsi="仿宋" w:eastAsia="仿宋" w:cs="仿宋"/>
          <w:color w:val="000000" w:themeColor="text1"/>
          <w:sz w:val="32"/>
          <w:szCs w:val="32"/>
          <w:lang w:val="en-US" w:eastAsia="zh-CN"/>
          <w14:textFill>
            <w14:solidFill>
              <w14:schemeClr w14:val="tx1"/>
            </w14:solidFill>
          </w14:textFill>
        </w:rPr>
        <w:t>11月16日，组织开展了2025环南京都市圈自行车赛（淮安金湖站），</w:t>
      </w:r>
      <w:r>
        <w:rPr>
          <w:rFonts w:hint="eastAsia" w:ascii="仿宋" w:hAnsi="仿宋" w:eastAsia="仿宋" w:cs="仿宋"/>
          <w:color w:val="000000" w:themeColor="text1"/>
          <w:sz w:val="32"/>
          <w:szCs w:val="32"/>
          <w14:textFill>
            <w14:solidFill>
              <w14:schemeClr w14:val="tx1"/>
            </w14:solidFill>
          </w14:textFill>
        </w:rPr>
        <w:t>吸引省内外</w:t>
      </w:r>
      <w:r>
        <w:rPr>
          <w:rFonts w:hint="eastAsia" w:ascii="仿宋" w:hAnsi="仿宋" w:eastAsia="仿宋" w:cs="仿宋"/>
          <w:color w:val="000000" w:themeColor="text1"/>
          <w:sz w:val="32"/>
          <w:szCs w:val="32"/>
          <w:lang w:val="en-US" w:eastAsia="zh-CN"/>
          <w14:textFill>
            <w14:solidFill>
              <w14:schemeClr w14:val="tx1"/>
            </w14:solidFill>
          </w14:textFill>
        </w:rPr>
        <w:t>近百名专业</w:t>
      </w:r>
      <w:r>
        <w:rPr>
          <w:rFonts w:hint="eastAsia" w:ascii="仿宋" w:hAnsi="仿宋" w:eastAsia="仿宋" w:cs="仿宋"/>
          <w:color w:val="000000" w:themeColor="text1"/>
          <w:sz w:val="32"/>
          <w:szCs w:val="32"/>
          <w14:textFill>
            <w14:solidFill>
              <w14:schemeClr w14:val="tx1"/>
            </w14:solidFill>
          </w14:textFill>
        </w:rPr>
        <w:t>选手</w:t>
      </w:r>
      <w:r>
        <w:rPr>
          <w:rFonts w:hint="eastAsia" w:ascii="仿宋" w:hAnsi="仿宋" w:eastAsia="仿宋" w:cs="仿宋"/>
          <w:color w:val="000000" w:themeColor="text1"/>
          <w:sz w:val="32"/>
          <w:szCs w:val="32"/>
          <w:lang w:val="en-US" w:eastAsia="zh-CN"/>
          <w14:textFill>
            <w14:solidFill>
              <w14:schemeClr w14:val="tx1"/>
            </w14:solidFill>
          </w14:textFill>
        </w:rPr>
        <w:t>走进金湖，了解金湖，感受金湖的风光美、美食美、人文美。2025年11月底至2026年1月，成立</w:t>
      </w:r>
      <w:r>
        <w:rPr>
          <w:rFonts w:hint="eastAsia" w:ascii="仿宋" w:hAnsi="仿宋" w:eastAsia="仿宋" w:cs="仿宋"/>
          <w:b w:val="0"/>
          <w:bCs w:val="0"/>
          <w:sz w:val="32"/>
          <w:szCs w:val="32"/>
          <w:lang w:val="en-US" w:eastAsia="zh-CN"/>
        </w:rPr>
        <w:t>备战淮安城市足球联赛工作保障小组，明确分工，各司其职，协调推进各项工作，圆满完成淮安城市足球联赛揭幕战及两场主场赛事。</w:t>
      </w:r>
    </w:p>
    <w:p w14:paraId="53184A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（四）竞技体育成果丰硕。</w:t>
      </w:r>
      <w:r>
        <w:rPr>
          <w:rFonts w:hint="eastAsia" w:ascii="仿宋" w:hAnsi="仿宋" w:eastAsia="仿宋" w:cs="仿宋"/>
          <w:color w:val="000000" w:themeColor="text1"/>
          <w:sz w:val="32"/>
          <w:szCs w:val="32"/>
          <w:lang w:val="en-US" w:eastAsia="zh-CN"/>
          <w14:textFill>
            <w14:solidFill>
              <w14:schemeClr w14:val="tx1"/>
            </w14:solidFill>
          </w14:textFill>
        </w:rPr>
        <w:t>参加江苏省羽毛球5621学校俱乐部暨青少年（县组）锦标赛取得男子双打第10名和女子单打第15名；参加江苏省快乐体操5621学校俱乐部联赛暨青少年（县组）锦标赛，获得女子团体第11名、男子团体第16名，女子个人第八名的成绩。参加江苏省青少年田径冠军赛暨江苏省田径5621学校俱乐部联赛（第二赛区），获得男子400米第三名、男子跳高第四名、女子800米第一名、女子400第二名。参加江苏省青少年手球锦标赛，获得女子甲组第四名、女子乙组第三名。参加江苏省青少年蹦床技巧锦标赛，获得乙组双人同步第五名、丙组单挑混合团体第二名、丙组网上团体第五名。</w:t>
      </w:r>
    </w:p>
    <w:p w14:paraId="165BD056">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Cs w:val="32"/>
          <w:lang w:val="en-US" w:eastAsia="zh-CN"/>
        </w:rPr>
        <w:t>公益金资助项目的</w:t>
      </w:r>
      <w:r>
        <w:rPr>
          <w:rFonts w:hint="eastAsia" w:ascii="仿宋" w:hAnsi="仿宋" w:eastAsia="仿宋" w:cs="仿宋"/>
          <w:szCs w:val="32"/>
        </w:rPr>
        <w:t>实施和大力宣传，实现了体育事业和产业双发展，更好地满足了人民群众日益增长的体育休闲生活需</w:t>
      </w:r>
      <w:r>
        <w:rPr>
          <w:rFonts w:hint="eastAsia" w:ascii="仿宋" w:hAnsi="仿宋" w:eastAsia="仿宋" w:cs="仿宋"/>
          <w:szCs w:val="32"/>
          <w:lang w:val="en-US" w:eastAsia="zh-CN"/>
        </w:rPr>
        <w:t>求</w:t>
      </w:r>
      <w:r>
        <w:rPr>
          <w:rFonts w:hint="eastAsia" w:ascii="仿宋" w:hAnsi="仿宋" w:eastAsia="仿宋" w:cs="仿宋"/>
          <w:szCs w:val="32"/>
        </w:rPr>
        <w:t>，进一步提升了体育彩票“公益彩票，乐善人生”的良好公益形象。</w:t>
      </w:r>
    </w:p>
    <w:p w14:paraId="54E1B0BC">
      <w:pPr>
        <w:keepNext w:val="0"/>
        <w:keepLines w:val="0"/>
        <w:pageBreakBefore w:val="0"/>
        <w:widowControl/>
        <w:kinsoku/>
        <w:wordWrap/>
        <w:overflowPunct/>
        <w:topLinePunct w:val="0"/>
        <w:autoSpaceDE/>
        <w:autoSpaceDN/>
        <w:bidi w:val="0"/>
        <w:adjustRightInd w:val="0"/>
        <w:snapToGrid w:val="0"/>
        <w:spacing w:line="560" w:lineRule="exact"/>
        <w:ind w:left="0" w:firstLine="640" w:firstLineChars="200"/>
        <w:textAlignment w:val="auto"/>
        <w:rPr>
          <w:rFonts w:hint="eastAsia" w:ascii="黑体" w:hAnsi="黑体" w:eastAsia="黑体" w:cs="黑体"/>
          <w:szCs w:val="32"/>
        </w:rPr>
      </w:pPr>
      <w:r>
        <w:rPr>
          <w:rFonts w:hint="eastAsia" w:ascii="黑体" w:hAnsi="黑体" w:eastAsia="黑体" w:cs="黑体"/>
          <w:szCs w:val="32"/>
        </w:rPr>
        <w:t>二、资助项目宣传工作开展情况</w:t>
      </w:r>
    </w:p>
    <w:p w14:paraId="7FB01E77">
      <w:pPr>
        <w:keepNext w:val="0"/>
        <w:keepLines w:val="0"/>
        <w:pageBreakBefore w:val="0"/>
        <w:numPr>
          <w:ilvl w:val="0"/>
          <w:numId w:val="1"/>
        </w:numPr>
        <w:tabs>
          <w:tab w:val="left" w:pos="735"/>
        </w:tabs>
        <w:kinsoku/>
        <w:wordWrap/>
        <w:overflowPunct/>
        <w:topLinePunct w:val="0"/>
        <w:autoSpaceDE/>
        <w:autoSpaceDN/>
        <w:bidi w:val="0"/>
        <w:spacing w:line="560" w:lineRule="exact"/>
        <w:ind w:left="0" w:leftChars="0" w:firstLine="0" w:firstLineChars="0"/>
        <w:jc w:val="left"/>
        <w:textAlignment w:val="auto"/>
        <w:rPr>
          <w:rFonts w:hint="eastAsia" w:ascii="楷体" w:hAnsi="楷体" w:eastAsia="楷体" w:cs="楷体"/>
          <w:kern w:val="2"/>
          <w:sz w:val="32"/>
          <w:szCs w:val="22"/>
          <w:lang w:val="en-US" w:eastAsia="zh-CN" w:bidi="ar-SA"/>
        </w:rPr>
      </w:pPr>
      <w:r>
        <w:rPr>
          <w:rFonts w:hint="eastAsia" w:ascii="楷体" w:hAnsi="楷体" w:eastAsia="楷体" w:cs="楷体"/>
          <w:kern w:val="2"/>
          <w:sz w:val="32"/>
          <w:szCs w:val="22"/>
          <w:lang w:val="en-US" w:eastAsia="zh-CN" w:bidi="ar-SA"/>
        </w:rPr>
        <w:t>现场宣传</w:t>
      </w:r>
    </w:p>
    <w:p w14:paraId="1A10BBC0">
      <w:pPr>
        <w:keepNext w:val="0"/>
        <w:keepLines w:val="0"/>
        <w:pageBreakBefore w:val="0"/>
        <w:kinsoku/>
        <w:wordWrap/>
        <w:overflowPunct/>
        <w:topLinePunct w:val="0"/>
        <w:autoSpaceDE/>
        <w:autoSpaceDN/>
        <w:bidi w:val="0"/>
        <w:spacing w:line="560" w:lineRule="exact"/>
        <w:ind w:left="0" w:firstLine="640" w:firstLineChars="200"/>
        <w:textAlignment w:val="auto"/>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rPr>
        <w:t>全民健身</w:t>
      </w:r>
      <w:r>
        <w:rPr>
          <w:rFonts w:hint="eastAsia" w:ascii="仿宋" w:hAnsi="仿宋" w:eastAsia="仿宋" w:cs="仿宋"/>
          <w:color w:val="000000"/>
          <w:kern w:val="0"/>
          <w:sz w:val="32"/>
          <w:szCs w:val="32"/>
          <w:lang w:val="en-US" w:eastAsia="zh-CN"/>
        </w:rPr>
        <w:t>赛事</w:t>
      </w:r>
      <w:r>
        <w:rPr>
          <w:rFonts w:hint="eastAsia" w:ascii="仿宋" w:hAnsi="仿宋" w:eastAsia="仿宋" w:cs="仿宋"/>
          <w:color w:val="000000"/>
          <w:kern w:val="0"/>
          <w:sz w:val="32"/>
          <w:szCs w:val="32"/>
        </w:rPr>
        <w:t>活动项目202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rPr>
        <w:t>年度支出金额</w:t>
      </w:r>
      <w:r>
        <w:rPr>
          <w:rFonts w:hint="eastAsia" w:ascii="仿宋" w:hAnsi="仿宋" w:eastAsia="仿宋" w:cs="仿宋"/>
          <w:b w:val="0"/>
          <w:bCs w:val="0"/>
          <w:color w:val="000000"/>
          <w:kern w:val="0"/>
          <w:sz w:val="32"/>
          <w:szCs w:val="32"/>
        </w:rPr>
        <w:t>约</w:t>
      </w:r>
      <w:r>
        <w:rPr>
          <w:rFonts w:hint="eastAsia" w:ascii="仿宋" w:hAnsi="仿宋" w:eastAsia="仿宋" w:cs="仿宋"/>
          <w:b w:val="0"/>
          <w:bCs w:val="0"/>
          <w:color w:val="000000"/>
          <w:kern w:val="0"/>
          <w:sz w:val="32"/>
          <w:szCs w:val="32"/>
          <w:lang w:val="en-US" w:eastAsia="zh-CN"/>
        </w:rPr>
        <w:t>164.55</w:t>
      </w:r>
      <w:r>
        <w:rPr>
          <w:rFonts w:hint="eastAsia" w:ascii="仿宋" w:hAnsi="仿宋" w:eastAsia="仿宋" w:cs="仿宋"/>
          <w:b w:val="0"/>
          <w:bCs w:val="0"/>
          <w:color w:val="000000"/>
          <w:kern w:val="0"/>
          <w:sz w:val="32"/>
          <w:szCs w:val="32"/>
        </w:rPr>
        <w:t>万元</w:t>
      </w:r>
      <w:r>
        <w:rPr>
          <w:rFonts w:hint="eastAsia" w:ascii="仿宋" w:hAnsi="仿宋" w:eastAsia="仿宋" w:cs="仿宋"/>
          <w:color w:val="000000"/>
          <w:kern w:val="0"/>
          <w:sz w:val="32"/>
          <w:szCs w:val="32"/>
        </w:rPr>
        <w:t>，主要用于活动场地</w:t>
      </w:r>
      <w:r>
        <w:rPr>
          <w:rFonts w:hint="eastAsia" w:ascii="仿宋" w:hAnsi="仿宋" w:eastAsia="仿宋" w:cs="仿宋"/>
          <w:color w:val="000000"/>
          <w:kern w:val="0"/>
          <w:sz w:val="32"/>
          <w:szCs w:val="32"/>
          <w:lang w:val="en-US" w:eastAsia="zh-CN"/>
        </w:rPr>
        <w:t>布置</w:t>
      </w:r>
      <w:r>
        <w:rPr>
          <w:rFonts w:hint="eastAsia" w:ascii="仿宋" w:hAnsi="仿宋" w:eastAsia="仿宋" w:cs="仿宋"/>
          <w:color w:val="000000"/>
          <w:kern w:val="0"/>
          <w:sz w:val="32"/>
          <w:szCs w:val="32"/>
        </w:rPr>
        <w:t>、</w:t>
      </w:r>
      <w:r>
        <w:rPr>
          <w:rFonts w:hint="eastAsia" w:ascii="仿宋" w:hAnsi="仿宋" w:eastAsia="仿宋" w:cs="仿宋"/>
          <w:color w:val="000000"/>
          <w:kern w:val="0"/>
          <w:sz w:val="32"/>
          <w:szCs w:val="32"/>
          <w:lang w:val="en-US" w:eastAsia="zh-CN"/>
        </w:rPr>
        <w:t>人员保障、</w:t>
      </w:r>
      <w:r>
        <w:rPr>
          <w:rFonts w:hint="eastAsia" w:ascii="仿宋" w:hAnsi="仿宋" w:eastAsia="仿宋" w:cs="仿宋"/>
          <w:color w:val="000000"/>
          <w:kern w:val="0"/>
          <w:sz w:val="32"/>
          <w:szCs w:val="32"/>
        </w:rPr>
        <w:t>器材</w:t>
      </w:r>
      <w:r>
        <w:rPr>
          <w:rFonts w:hint="eastAsia" w:ascii="仿宋" w:hAnsi="仿宋" w:eastAsia="仿宋" w:cs="仿宋"/>
          <w:color w:val="000000"/>
          <w:kern w:val="0"/>
          <w:sz w:val="32"/>
          <w:szCs w:val="32"/>
          <w:lang w:val="en-US" w:eastAsia="zh-CN"/>
        </w:rPr>
        <w:t>采购</w:t>
      </w:r>
      <w:r>
        <w:rPr>
          <w:rFonts w:hint="eastAsia" w:ascii="仿宋" w:hAnsi="仿宋" w:eastAsia="仿宋" w:cs="仿宋"/>
          <w:color w:val="000000"/>
          <w:kern w:val="0"/>
          <w:sz w:val="32"/>
          <w:szCs w:val="32"/>
        </w:rPr>
        <w:t>等费用支出，项目通过在会标上加入中国体彩等方式进行宣传；</w:t>
      </w:r>
      <w:r>
        <w:rPr>
          <w:rFonts w:hint="eastAsia" w:ascii="仿宋" w:hAnsi="仿宋" w:eastAsia="仿宋" w:cs="仿宋"/>
          <w:szCs w:val="32"/>
        </w:rPr>
        <w:t>健身路径、健身步道建设</w:t>
      </w:r>
      <w:r>
        <w:rPr>
          <w:rFonts w:hint="eastAsia" w:ascii="仿宋" w:hAnsi="仿宋" w:eastAsia="仿宋" w:cs="仿宋"/>
          <w:color w:val="000000"/>
          <w:kern w:val="0"/>
          <w:sz w:val="32"/>
          <w:szCs w:val="32"/>
        </w:rPr>
        <w:t>项目202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rPr>
        <w:t>年度支出金额</w:t>
      </w:r>
      <w:r>
        <w:rPr>
          <w:rFonts w:hint="eastAsia" w:ascii="仿宋" w:hAnsi="仿宋" w:eastAsia="仿宋" w:cs="仿宋"/>
          <w:color w:val="000000"/>
          <w:kern w:val="0"/>
          <w:sz w:val="32"/>
          <w:szCs w:val="32"/>
          <w:lang w:val="en-US" w:eastAsia="zh-CN"/>
        </w:rPr>
        <w:t>20</w:t>
      </w:r>
      <w:r>
        <w:rPr>
          <w:rFonts w:hint="eastAsia" w:ascii="仿宋" w:hAnsi="仿宋" w:eastAsia="仿宋" w:cs="仿宋"/>
          <w:color w:val="000000"/>
          <w:kern w:val="0"/>
          <w:sz w:val="32"/>
          <w:szCs w:val="32"/>
        </w:rPr>
        <w:t>万元，主要用于</w:t>
      </w:r>
      <w:r>
        <w:rPr>
          <w:rFonts w:hint="eastAsia" w:ascii="仿宋" w:hAnsi="仿宋" w:eastAsia="仿宋" w:cs="仿宋"/>
          <w:color w:val="000000"/>
          <w:kern w:val="0"/>
          <w:sz w:val="32"/>
          <w:szCs w:val="32"/>
          <w:lang w:val="en-US" w:eastAsia="zh-CN"/>
        </w:rPr>
        <w:t>体育场地建设和</w:t>
      </w:r>
      <w:r>
        <w:rPr>
          <w:rFonts w:hint="eastAsia" w:ascii="仿宋" w:hAnsi="仿宋" w:eastAsia="仿宋" w:cs="仿宋"/>
          <w:color w:val="000000"/>
          <w:kern w:val="0"/>
          <w:sz w:val="32"/>
          <w:szCs w:val="32"/>
        </w:rPr>
        <w:t>购置体育健身器材，项目通过制作健身步道标识牌、体育器材铭牌等方式宣传</w:t>
      </w:r>
      <w:r>
        <w:rPr>
          <w:rFonts w:hint="eastAsia" w:ascii="仿宋" w:hAnsi="仿宋" w:eastAsia="仿宋" w:cs="仿宋"/>
          <w:color w:val="000000"/>
          <w:kern w:val="0"/>
          <w:sz w:val="32"/>
          <w:szCs w:val="32"/>
          <w:lang w:eastAsia="zh-CN"/>
        </w:rPr>
        <w:t>；青少年竞训（手球队）202</w:t>
      </w:r>
      <w:r>
        <w:rPr>
          <w:rFonts w:hint="eastAsia"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eastAsia="zh-CN"/>
        </w:rPr>
        <w:t>年度支出</w:t>
      </w:r>
      <w:r>
        <w:rPr>
          <w:rFonts w:hint="eastAsia" w:ascii="仿宋" w:hAnsi="仿宋" w:eastAsia="仿宋" w:cs="仿宋"/>
          <w:color w:val="000000"/>
          <w:kern w:val="0"/>
          <w:sz w:val="32"/>
          <w:szCs w:val="32"/>
          <w:lang w:val="en-US" w:eastAsia="zh-CN"/>
        </w:rPr>
        <w:t>125.75</w:t>
      </w:r>
      <w:r>
        <w:rPr>
          <w:rFonts w:hint="eastAsia" w:ascii="仿宋" w:hAnsi="仿宋" w:eastAsia="仿宋" w:cs="仿宋"/>
          <w:color w:val="000000"/>
          <w:kern w:val="0"/>
          <w:sz w:val="32"/>
          <w:szCs w:val="32"/>
          <w:lang w:eastAsia="zh-CN"/>
        </w:rPr>
        <w:t>万元，主要用于队员伙食、训练等费用支出，项目通过各级赛事背景加入中国体彩等方式进行宣传。</w:t>
      </w:r>
    </w:p>
    <w:p w14:paraId="763DE92E">
      <w:pPr>
        <w:keepNext w:val="0"/>
        <w:keepLines w:val="0"/>
        <w:pageBreakBefore w:val="0"/>
        <w:wordWrap/>
        <w:overflowPunct/>
        <w:topLinePunct w:val="0"/>
        <w:bidi w:val="0"/>
        <w:spacing w:line="560" w:lineRule="exact"/>
        <w:ind w:firstLine="640" w:firstLineChars="200"/>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drawing>
          <wp:anchor distT="0" distB="0" distL="114300" distR="114300" simplePos="0" relativeHeight="251659264" behindDoc="0" locked="0" layoutInCell="1" allowOverlap="1">
            <wp:simplePos x="0" y="0"/>
            <wp:positionH relativeFrom="column">
              <wp:posOffset>1036955</wp:posOffset>
            </wp:positionH>
            <wp:positionV relativeFrom="paragraph">
              <wp:posOffset>66040</wp:posOffset>
            </wp:positionV>
            <wp:extent cx="3582670" cy="2686685"/>
            <wp:effectExtent l="0" t="0" r="17780" b="18415"/>
            <wp:wrapNone/>
            <wp:docPr id="2" name="图片 2" descr="微信图片_2025-08-11_090849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8-11_090849_524"/>
                    <pic:cNvPicPr>
                      <a:picLocks noChangeAspect="1"/>
                    </pic:cNvPicPr>
                  </pic:nvPicPr>
                  <pic:blipFill>
                    <a:blip r:embed="rId4"/>
                    <a:stretch>
                      <a:fillRect/>
                    </a:stretch>
                  </pic:blipFill>
                  <pic:spPr>
                    <a:xfrm>
                      <a:off x="0" y="0"/>
                      <a:ext cx="3582670" cy="2686685"/>
                    </a:xfrm>
                    <a:prstGeom prst="rect">
                      <a:avLst/>
                    </a:prstGeom>
                  </pic:spPr>
                </pic:pic>
              </a:graphicData>
            </a:graphic>
          </wp:anchor>
        </w:drawing>
      </w:r>
    </w:p>
    <w:p w14:paraId="1D8D8972">
      <w:pPr>
        <w:keepNext w:val="0"/>
        <w:keepLines w:val="0"/>
        <w:pageBreakBefore w:val="0"/>
        <w:wordWrap/>
        <w:overflowPunct/>
        <w:topLinePunct w:val="0"/>
        <w:bidi w:val="0"/>
        <w:spacing w:line="560" w:lineRule="exact"/>
        <w:ind w:firstLine="640" w:firstLineChars="200"/>
        <w:rPr>
          <w:rFonts w:hint="eastAsia" w:ascii="仿宋" w:hAnsi="仿宋" w:eastAsia="仿宋" w:cs="仿宋"/>
          <w:color w:val="000000"/>
          <w:kern w:val="0"/>
          <w:sz w:val="32"/>
          <w:szCs w:val="32"/>
          <w:lang w:eastAsia="zh-CN"/>
        </w:rPr>
      </w:pPr>
    </w:p>
    <w:p w14:paraId="1126A851">
      <w:pPr>
        <w:keepNext w:val="0"/>
        <w:keepLines w:val="0"/>
        <w:pageBreakBefore w:val="0"/>
        <w:wordWrap/>
        <w:overflowPunct/>
        <w:topLinePunct w:val="0"/>
        <w:bidi w:val="0"/>
        <w:spacing w:line="560" w:lineRule="exact"/>
        <w:ind w:firstLine="640" w:firstLineChars="200"/>
        <w:rPr>
          <w:rFonts w:hint="eastAsia" w:ascii="仿宋" w:hAnsi="仿宋" w:eastAsia="仿宋" w:cs="仿宋"/>
          <w:color w:val="000000"/>
          <w:kern w:val="0"/>
          <w:sz w:val="32"/>
          <w:szCs w:val="32"/>
          <w:lang w:eastAsia="zh-CN"/>
        </w:rPr>
      </w:pPr>
    </w:p>
    <w:p w14:paraId="22B09741">
      <w:pPr>
        <w:rPr>
          <w:rFonts w:hint="eastAsia" w:ascii="仿宋" w:hAnsi="仿宋" w:eastAsia="仿宋" w:cs="仿宋"/>
          <w:color w:val="000000"/>
          <w:kern w:val="0"/>
          <w:sz w:val="32"/>
          <w:szCs w:val="32"/>
          <w:lang w:eastAsia="zh-CN"/>
        </w:rPr>
      </w:pPr>
    </w:p>
    <w:p w14:paraId="6CBF69ED">
      <w:pPr>
        <w:pStyle w:val="2"/>
        <w:rPr>
          <w:rFonts w:hint="eastAsia" w:ascii="仿宋" w:hAnsi="仿宋" w:eastAsia="仿宋" w:cs="仿宋"/>
          <w:color w:val="000000"/>
          <w:kern w:val="0"/>
          <w:sz w:val="32"/>
          <w:szCs w:val="32"/>
          <w:lang w:eastAsia="zh-CN"/>
        </w:rPr>
      </w:pPr>
    </w:p>
    <w:p w14:paraId="4E3F21F5">
      <w:pPr>
        <w:rPr>
          <w:rFonts w:hint="eastAsia" w:ascii="仿宋" w:hAnsi="仿宋" w:eastAsia="仿宋" w:cs="仿宋"/>
          <w:color w:val="000000"/>
          <w:kern w:val="0"/>
          <w:sz w:val="32"/>
          <w:szCs w:val="32"/>
          <w:lang w:eastAsia="zh-CN"/>
        </w:rPr>
      </w:pPr>
    </w:p>
    <w:p w14:paraId="09A2C9D4">
      <w:pPr>
        <w:rPr>
          <w:rFonts w:hint="eastAsia"/>
          <w:lang w:val="en-US" w:eastAsia="zh-CN"/>
        </w:rPr>
      </w:pPr>
    </w:p>
    <w:p w14:paraId="08CB206E">
      <w:pPr>
        <w:jc w:val="center"/>
        <w:rPr>
          <w:rFonts w:hint="eastAsia" w:ascii="楷体" w:hAnsi="楷体" w:eastAsia="楷体" w:cs="楷体"/>
          <w:b/>
          <w:bCs/>
          <w:color w:val="auto"/>
          <w:lang w:val="en-US" w:eastAsia="zh-CN"/>
        </w:rPr>
      </w:pPr>
      <w:r>
        <w:rPr>
          <w:rFonts w:hint="eastAsia" w:ascii="楷体" w:hAnsi="楷体" w:eastAsia="楷体" w:cs="楷体"/>
          <w:b/>
          <w:bCs/>
          <w:color w:val="auto"/>
          <w:lang w:val="en-US" w:eastAsia="zh-CN"/>
        </w:rPr>
        <w:t>2025年全民健身日启动仪式暨社区运动会现场</w:t>
      </w:r>
    </w:p>
    <w:p w14:paraId="7D4198BC">
      <w:pPr>
        <w:pStyle w:val="2"/>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973455</wp:posOffset>
            </wp:positionH>
            <wp:positionV relativeFrom="paragraph">
              <wp:posOffset>123825</wp:posOffset>
            </wp:positionV>
            <wp:extent cx="3461385" cy="2595880"/>
            <wp:effectExtent l="0" t="0" r="5715" b="13970"/>
            <wp:wrapNone/>
            <wp:docPr id="3" name="图片 3" descr="de1630cc00144339492b967eccfb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1630cc00144339492b967eccfb2118"/>
                    <pic:cNvPicPr>
                      <a:picLocks noChangeAspect="1"/>
                    </pic:cNvPicPr>
                  </pic:nvPicPr>
                  <pic:blipFill>
                    <a:blip r:embed="rId5"/>
                    <a:stretch>
                      <a:fillRect/>
                    </a:stretch>
                  </pic:blipFill>
                  <pic:spPr>
                    <a:xfrm>
                      <a:off x="0" y="0"/>
                      <a:ext cx="3461385" cy="2595880"/>
                    </a:xfrm>
                    <a:prstGeom prst="rect">
                      <a:avLst/>
                    </a:prstGeom>
                  </pic:spPr>
                </pic:pic>
              </a:graphicData>
            </a:graphic>
          </wp:anchor>
        </w:drawing>
      </w:r>
    </w:p>
    <w:p w14:paraId="64199C90">
      <w:pPr>
        <w:pStyle w:val="2"/>
        <w:rPr>
          <w:rFonts w:hint="eastAsia"/>
          <w:lang w:val="en-US" w:eastAsia="zh-CN"/>
        </w:rPr>
      </w:pPr>
    </w:p>
    <w:p w14:paraId="4D3AEF23">
      <w:pPr>
        <w:rPr>
          <w:rFonts w:hint="eastAsia"/>
          <w:lang w:val="en-US" w:eastAsia="zh-CN"/>
        </w:rPr>
      </w:pPr>
    </w:p>
    <w:p w14:paraId="715201B8">
      <w:pPr>
        <w:pStyle w:val="2"/>
        <w:rPr>
          <w:rFonts w:hint="eastAsia"/>
          <w:lang w:val="en-US" w:eastAsia="zh-CN"/>
        </w:rPr>
      </w:pPr>
    </w:p>
    <w:p w14:paraId="20EBFACE">
      <w:pPr>
        <w:bidi w:val="0"/>
        <w:rPr>
          <w:rFonts w:hint="eastAsia"/>
          <w:lang w:val="en-US" w:eastAsia="zh-CN"/>
        </w:rPr>
      </w:pPr>
    </w:p>
    <w:p w14:paraId="79D7258F">
      <w:pPr>
        <w:bidi w:val="0"/>
        <w:rPr>
          <w:rFonts w:hint="eastAsia"/>
          <w:lang w:val="en-US" w:eastAsia="zh-CN"/>
        </w:rPr>
      </w:pPr>
    </w:p>
    <w:p w14:paraId="579ADC5F">
      <w:pPr>
        <w:jc w:val="center"/>
        <w:rPr>
          <w:rFonts w:hint="default" w:ascii="楷体" w:hAnsi="楷体" w:eastAsia="楷体" w:cs="楷体"/>
          <w:b/>
          <w:bCs/>
          <w:color w:val="auto"/>
          <w:lang w:val="en-US" w:eastAsia="zh-CN"/>
        </w:rPr>
      </w:pPr>
      <w:r>
        <w:rPr>
          <w:rFonts w:hint="eastAsia" w:ascii="楷体" w:hAnsi="楷体" w:eastAsia="楷体" w:cs="楷体"/>
          <w:b/>
          <w:bCs/>
          <w:color w:val="auto"/>
          <w:lang w:val="en-US" w:eastAsia="zh-CN"/>
        </w:rPr>
        <w:t>2025年金湖县重阳健步走</w:t>
      </w:r>
    </w:p>
    <w:p w14:paraId="59E63CFC">
      <w:pPr>
        <w:bidi w:val="0"/>
        <w:rPr>
          <w:rFonts w:hint="eastAsia"/>
          <w:lang w:val="en-US" w:eastAsia="zh-CN"/>
        </w:rPr>
      </w:pPr>
    </w:p>
    <w:p w14:paraId="6B6B572D">
      <w:pPr>
        <w:bidi w:val="0"/>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381000</wp:posOffset>
            </wp:positionH>
            <wp:positionV relativeFrom="paragraph">
              <wp:posOffset>67945</wp:posOffset>
            </wp:positionV>
            <wp:extent cx="4566920" cy="2566670"/>
            <wp:effectExtent l="0" t="0" r="5080" b="5080"/>
            <wp:wrapNone/>
            <wp:docPr id="4" name="图片 4" descr="f9e412af11cc393ce1baace6d74b4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9e412af11cc393ce1baace6d74b4b1b"/>
                    <pic:cNvPicPr>
                      <a:picLocks noChangeAspect="1"/>
                    </pic:cNvPicPr>
                  </pic:nvPicPr>
                  <pic:blipFill>
                    <a:blip r:embed="rId6"/>
                    <a:stretch>
                      <a:fillRect/>
                    </a:stretch>
                  </pic:blipFill>
                  <pic:spPr>
                    <a:xfrm>
                      <a:off x="0" y="0"/>
                      <a:ext cx="4566920" cy="2566670"/>
                    </a:xfrm>
                    <a:prstGeom prst="rect">
                      <a:avLst/>
                    </a:prstGeom>
                  </pic:spPr>
                </pic:pic>
              </a:graphicData>
            </a:graphic>
          </wp:anchor>
        </w:drawing>
      </w:r>
    </w:p>
    <w:p w14:paraId="64E2D8AC">
      <w:pPr>
        <w:bidi w:val="0"/>
        <w:rPr>
          <w:rFonts w:hint="eastAsia"/>
          <w:lang w:val="en-US" w:eastAsia="zh-CN"/>
        </w:rPr>
      </w:pPr>
    </w:p>
    <w:p w14:paraId="6AE0AE9F">
      <w:pPr>
        <w:bidi w:val="0"/>
        <w:rPr>
          <w:rFonts w:hint="eastAsia"/>
          <w:lang w:val="en-US" w:eastAsia="zh-CN"/>
        </w:rPr>
      </w:pPr>
    </w:p>
    <w:p w14:paraId="1504DBB7">
      <w:pPr>
        <w:bidi w:val="0"/>
        <w:rPr>
          <w:rFonts w:hint="eastAsia"/>
          <w:lang w:val="en-US" w:eastAsia="zh-CN"/>
        </w:rPr>
      </w:pPr>
    </w:p>
    <w:p w14:paraId="2E9E2FD1">
      <w:pPr>
        <w:bidi w:val="0"/>
        <w:rPr>
          <w:rFonts w:hint="eastAsia"/>
          <w:lang w:val="en-US" w:eastAsia="zh-CN"/>
        </w:rPr>
      </w:pPr>
    </w:p>
    <w:p w14:paraId="115D09A8">
      <w:pPr>
        <w:bidi w:val="0"/>
        <w:rPr>
          <w:rFonts w:hint="eastAsia"/>
          <w:lang w:val="en-US" w:eastAsia="zh-CN"/>
        </w:rPr>
      </w:pPr>
    </w:p>
    <w:p w14:paraId="057BE5A0">
      <w:pPr>
        <w:bidi w:val="0"/>
        <w:rPr>
          <w:rFonts w:hint="eastAsia"/>
          <w:lang w:val="en-US" w:eastAsia="zh-CN"/>
        </w:rPr>
      </w:pPr>
    </w:p>
    <w:p w14:paraId="7C3F3C22">
      <w:pPr>
        <w:jc w:val="center"/>
        <w:rPr>
          <w:rFonts w:hint="eastAsia" w:ascii="楷体" w:hAnsi="楷体" w:eastAsia="楷体" w:cs="楷体"/>
          <w:b/>
          <w:bCs/>
          <w:color w:val="auto"/>
          <w:lang w:val="en-US" w:eastAsia="zh-CN"/>
        </w:rPr>
      </w:pPr>
      <w:r>
        <w:rPr>
          <w:rFonts w:hint="eastAsia" w:ascii="楷体" w:hAnsi="楷体" w:eastAsia="楷体" w:cs="楷体"/>
          <w:b/>
          <w:bCs/>
          <w:color w:val="auto"/>
          <w:lang w:val="en-US" w:eastAsia="zh-CN"/>
        </w:rPr>
        <w:t>2025年金湖县社区运动会暨第二届篮球联赛</w:t>
      </w:r>
    </w:p>
    <w:p w14:paraId="02A78791">
      <w:pPr>
        <w:bidi w:val="0"/>
        <w:rPr>
          <w:rFonts w:hint="default"/>
          <w:lang w:val="en-US" w:eastAsia="zh-CN"/>
        </w:rPr>
      </w:pPr>
    </w:p>
    <w:p w14:paraId="1183C5D9">
      <w:pPr>
        <w:bidi w:val="0"/>
        <w:rPr>
          <w:rFonts w:hint="eastAsia"/>
          <w:lang w:val="en-US" w:eastAsia="zh-CN"/>
        </w:rPr>
      </w:pPr>
    </w:p>
    <w:p w14:paraId="398EBAC4">
      <w:pPr>
        <w:bidi w:val="0"/>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657225</wp:posOffset>
            </wp:positionH>
            <wp:positionV relativeFrom="paragraph">
              <wp:posOffset>121920</wp:posOffset>
            </wp:positionV>
            <wp:extent cx="4389120" cy="3291205"/>
            <wp:effectExtent l="0" t="0" r="11430" b="4445"/>
            <wp:wrapNone/>
            <wp:docPr id="5" name="图片 5" descr="8144db2885baa6fb7d453ecf45b1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144db2885baa6fb7d453ecf45b17901"/>
                    <pic:cNvPicPr>
                      <a:picLocks noChangeAspect="1"/>
                    </pic:cNvPicPr>
                  </pic:nvPicPr>
                  <pic:blipFill>
                    <a:blip r:embed="rId7"/>
                    <a:stretch>
                      <a:fillRect/>
                    </a:stretch>
                  </pic:blipFill>
                  <pic:spPr>
                    <a:xfrm>
                      <a:off x="0" y="0"/>
                      <a:ext cx="4389120" cy="3291205"/>
                    </a:xfrm>
                    <a:prstGeom prst="rect">
                      <a:avLst/>
                    </a:prstGeom>
                  </pic:spPr>
                </pic:pic>
              </a:graphicData>
            </a:graphic>
          </wp:anchor>
        </w:drawing>
      </w:r>
    </w:p>
    <w:p w14:paraId="5F33BD38">
      <w:pPr>
        <w:bidi w:val="0"/>
        <w:rPr>
          <w:rFonts w:hint="eastAsia"/>
          <w:lang w:val="en-US" w:eastAsia="zh-CN"/>
        </w:rPr>
      </w:pPr>
    </w:p>
    <w:p w14:paraId="6F73A010">
      <w:pPr>
        <w:bidi w:val="0"/>
        <w:rPr>
          <w:rFonts w:hint="eastAsia"/>
          <w:lang w:val="en-US" w:eastAsia="zh-CN"/>
        </w:rPr>
      </w:pPr>
    </w:p>
    <w:p w14:paraId="791F96A8">
      <w:pPr>
        <w:bidi w:val="0"/>
        <w:rPr>
          <w:rFonts w:hint="eastAsia"/>
          <w:lang w:val="en-US" w:eastAsia="zh-CN"/>
        </w:rPr>
      </w:pPr>
    </w:p>
    <w:p w14:paraId="7F419313">
      <w:pPr>
        <w:bidi w:val="0"/>
        <w:rPr>
          <w:rFonts w:hint="eastAsia"/>
          <w:lang w:val="en-US" w:eastAsia="zh-CN"/>
        </w:rPr>
      </w:pPr>
    </w:p>
    <w:p w14:paraId="1442908A">
      <w:pPr>
        <w:bidi w:val="0"/>
        <w:rPr>
          <w:rFonts w:hint="eastAsia"/>
          <w:lang w:val="en-US" w:eastAsia="zh-CN"/>
        </w:rPr>
      </w:pPr>
    </w:p>
    <w:p w14:paraId="416F868F">
      <w:pPr>
        <w:bidi w:val="0"/>
        <w:rPr>
          <w:rFonts w:hint="eastAsia"/>
          <w:lang w:val="en-US" w:eastAsia="zh-CN"/>
        </w:rPr>
      </w:pPr>
    </w:p>
    <w:p w14:paraId="4B8CA3A7">
      <w:pPr>
        <w:bidi w:val="0"/>
        <w:rPr>
          <w:rFonts w:hint="eastAsia"/>
          <w:lang w:val="en-US" w:eastAsia="zh-CN"/>
        </w:rPr>
      </w:pPr>
    </w:p>
    <w:p w14:paraId="409FEBD0">
      <w:pPr>
        <w:bidi w:val="0"/>
        <w:rPr>
          <w:rFonts w:hint="eastAsia"/>
          <w:lang w:val="en-US" w:eastAsia="zh-CN"/>
        </w:rPr>
      </w:pPr>
    </w:p>
    <w:p w14:paraId="50213979">
      <w:pPr>
        <w:jc w:val="center"/>
        <w:rPr>
          <w:rFonts w:hint="default" w:ascii="楷体" w:hAnsi="楷体" w:eastAsia="楷体" w:cs="楷体"/>
          <w:b/>
          <w:bCs/>
          <w:color w:val="auto"/>
          <w:lang w:val="en-US" w:eastAsia="zh-CN"/>
        </w:rPr>
      </w:pPr>
      <w:r>
        <w:rPr>
          <w:rFonts w:hint="eastAsia" w:ascii="楷体" w:hAnsi="楷体" w:eastAsia="楷体" w:cs="楷体"/>
          <w:b/>
          <w:bCs/>
          <w:color w:val="auto"/>
          <w:lang w:val="en-US" w:eastAsia="zh-CN"/>
        </w:rPr>
        <w:t>2025年金湖县老年人健身展示活动</w:t>
      </w:r>
    </w:p>
    <w:p w14:paraId="65711FA4">
      <w:pPr>
        <w:bidi w:val="0"/>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552450</wp:posOffset>
            </wp:positionH>
            <wp:positionV relativeFrom="paragraph">
              <wp:posOffset>306705</wp:posOffset>
            </wp:positionV>
            <wp:extent cx="4601845" cy="3069590"/>
            <wp:effectExtent l="0" t="0" r="8255" b="16510"/>
            <wp:wrapNone/>
            <wp:docPr id="7" name="图片 7" descr="acaf18fd2452e1f60ca6a0facb4d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caf18fd2452e1f60ca6a0facb4d6115"/>
                    <pic:cNvPicPr>
                      <a:picLocks noChangeAspect="1"/>
                    </pic:cNvPicPr>
                  </pic:nvPicPr>
                  <pic:blipFill>
                    <a:blip r:embed="rId8"/>
                    <a:stretch>
                      <a:fillRect/>
                    </a:stretch>
                  </pic:blipFill>
                  <pic:spPr>
                    <a:xfrm>
                      <a:off x="0" y="0"/>
                      <a:ext cx="4601845" cy="3069590"/>
                    </a:xfrm>
                    <a:prstGeom prst="rect">
                      <a:avLst/>
                    </a:prstGeom>
                  </pic:spPr>
                </pic:pic>
              </a:graphicData>
            </a:graphic>
          </wp:anchor>
        </w:drawing>
      </w:r>
    </w:p>
    <w:p w14:paraId="5417A301">
      <w:pPr>
        <w:bidi w:val="0"/>
        <w:rPr>
          <w:rFonts w:hint="eastAsia"/>
          <w:lang w:val="en-US" w:eastAsia="zh-CN"/>
        </w:rPr>
      </w:pPr>
    </w:p>
    <w:p w14:paraId="2CF84643">
      <w:pPr>
        <w:bidi w:val="0"/>
        <w:rPr>
          <w:rFonts w:hint="eastAsia"/>
          <w:lang w:val="en-US" w:eastAsia="zh-CN"/>
        </w:rPr>
      </w:pPr>
    </w:p>
    <w:p w14:paraId="329B4300">
      <w:pPr>
        <w:bidi w:val="0"/>
        <w:rPr>
          <w:rFonts w:hint="eastAsia"/>
          <w:lang w:val="en-US" w:eastAsia="zh-CN"/>
        </w:rPr>
      </w:pPr>
    </w:p>
    <w:p w14:paraId="2006E0E8">
      <w:pPr>
        <w:bidi w:val="0"/>
        <w:rPr>
          <w:rFonts w:hint="eastAsia"/>
          <w:lang w:val="en-US" w:eastAsia="zh-CN"/>
        </w:rPr>
      </w:pPr>
    </w:p>
    <w:p w14:paraId="5AFCA82D">
      <w:pPr>
        <w:bidi w:val="0"/>
        <w:rPr>
          <w:rFonts w:hint="eastAsia"/>
          <w:lang w:val="en-US" w:eastAsia="zh-CN"/>
        </w:rPr>
      </w:pPr>
    </w:p>
    <w:p w14:paraId="4CEE6B8E">
      <w:pPr>
        <w:bidi w:val="0"/>
        <w:rPr>
          <w:rFonts w:hint="eastAsia"/>
          <w:lang w:val="en-US" w:eastAsia="zh-CN"/>
        </w:rPr>
      </w:pPr>
    </w:p>
    <w:p w14:paraId="25492EC9">
      <w:pPr>
        <w:bidi w:val="0"/>
        <w:rPr>
          <w:rFonts w:hint="eastAsia"/>
          <w:lang w:val="en-US" w:eastAsia="zh-CN"/>
        </w:rPr>
      </w:pPr>
    </w:p>
    <w:p w14:paraId="501C13A1">
      <w:pPr>
        <w:jc w:val="center"/>
        <w:rPr>
          <w:rFonts w:hint="eastAsia" w:ascii="楷体" w:hAnsi="楷体" w:eastAsia="楷体" w:cs="楷体"/>
          <w:b/>
          <w:bCs/>
          <w:color w:val="auto"/>
          <w:lang w:val="en-US" w:eastAsia="zh-CN"/>
        </w:rPr>
      </w:pPr>
    </w:p>
    <w:p w14:paraId="7C8CE75C">
      <w:pPr>
        <w:jc w:val="center"/>
        <w:rPr>
          <w:rFonts w:hint="eastAsia" w:ascii="楷体" w:hAnsi="楷体" w:eastAsia="楷体" w:cs="楷体"/>
          <w:b/>
          <w:bCs/>
          <w:lang w:val="en-US" w:eastAsia="zh-CN"/>
        </w:rPr>
      </w:pPr>
      <w:r>
        <w:rPr>
          <w:rFonts w:hint="eastAsia" w:ascii="楷体" w:hAnsi="楷体" w:eastAsia="楷体" w:cs="楷体"/>
          <w:b/>
          <w:bCs/>
          <w:color w:val="auto"/>
          <w:lang w:val="en-US" w:eastAsia="zh-CN"/>
        </w:rPr>
        <w:t>2025年金湖县羽毛球公开赛</w:t>
      </w:r>
    </w:p>
    <w:p w14:paraId="683D082F">
      <w:pPr>
        <w:tabs>
          <w:tab w:val="left" w:pos="3396"/>
        </w:tabs>
        <w:bidi w:val="0"/>
        <w:jc w:val="center"/>
        <w:rPr>
          <w:rFonts w:hint="eastAsia" w:ascii="楷体" w:hAnsi="楷体" w:eastAsia="楷体" w:cs="楷体"/>
          <w:b/>
          <w:bCs/>
          <w:lang w:val="en-US" w:eastAsia="zh-CN"/>
        </w:rPr>
      </w:pPr>
      <w:r>
        <w:rPr>
          <w:rFonts w:hint="eastAsia" w:ascii="楷体" w:hAnsi="楷体" w:eastAsia="楷体" w:cs="楷体"/>
          <w:b/>
          <w:bCs/>
          <w:lang w:val="en-US" w:eastAsia="zh-CN"/>
        </w:rPr>
        <w:drawing>
          <wp:anchor distT="0" distB="0" distL="114300" distR="114300" simplePos="0" relativeHeight="251664384" behindDoc="0" locked="0" layoutInCell="1" allowOverlap="1">
            <wp:simplePos x="0" y="0"/>
            <wp:positionH relativeFrom="column">
              <wp:posOffset>523875</wp:posOffset>
            </wp:positionH>
            <wp:positionV relativeFrom="paragraph">
              <wp:posOffset>146685</wp:posOffset>
            </wp:positionV>
            <wp:extent cx="4559935" cy="3418840"/>
            <wp:effectExtent l="0" t="0" r="12065" b="10160"/>
            <wp:wrapNone/>
            <wp:docPr id="8" name="图片 8" descr="0b7c0707a1d9e03b2f636f62ad7a8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b7c0707a1d9e03b2f636f62ad7a8ef0"/>
                    <pic:cNvPicPr>
                      <a:picLocks noChangeAspect="1"/>
                    </pic:cNvPicPr>
                  </pic:nvPicPr>
                  <pic:blipFill>
                    <a:blip r:embed="rId9"/>
                    <a:stretch>
                      <a:fillRect/>
                    </a:stretch>
                  </pic:blipFill>
                  <pic:spPr>
                    <a:xfrm>
                      <a:off x="0" y="0"/>
                      <a:ext cx="4559935" cy="3418840"/>
                    </a:xfrm>
                    <a:prstGeom prst="rect">
                      <a:avLst/>
                    </a:prstGeom>
                  </pic:spPr>
                </pic:pic>
              </a:graphicData>
            </a:graphic>
          </wp:anchor>
        </w:drawing>
      </w:r>
    </w:p>
    <w:p w14:paraId="5B04109F">
      <w:pPr>
        <w:tabs>
          <w:tab w:val="left" w:pos="3396"/>
        </w:tabs>
        <w:bidi w:val="0"/>
        <w:jc w:val="center"/>
        <w:rPr>
          <w:rFonts w:hint="eastAsia" w:ascii="楷体" w:hAnsi="楷体" w:eastAsia="楷体" w:cs="楷体"/>
          <w:b/>
          <w:bCs/>
          <w:lang w:val="en-US" w:eastAsia="zh-CN"/>
        </w:rPr>
      </w:pPr>
    </w:p>
    <w:p w14:paraId="1FE6CC64">
      <w:pPr>
        <w:tabs>
          <w:tab w:val="left" w:pos="3396"/>
        </w:tabs>
        <w:bidi w:val="0"/>
        <w:jc w:val="center"/>
        <w:rPr>
          <w:rFonts w:hint="eastAsia" w:ascii="楷体" w:hAnsi="楷体" w:eastAsia="楷体" w:cs="楷体"/>
          <w:b/>
          <w:bCs/>
          <w:lang w:val="en-US" w:eastAsia="zh-CN"/>
        </w:rPr>
      </w:pPr>
    </w:p>
    <w:p w14:paraId="5E9C6382">
      <w:pPr>
        <w:tabs>
          <w:tab w:val="left" w:pos="3396"/>
        </w:tabs>
        <w:bidi w:val="0"/>
        <w:jc w:val="center"/>
        <w:rPr>
          <w:rFonts w:hint="eastAsia" w:ascii="楷体" w:hAnsi="楷体" w:eastAsia="楷体" w:cs="楷体"/>
          <w:b/>
          <w:bCs/>
          <w:lang w:val="en-US" w:eastAsia="zh-CN"/>
        </w:rPr>
      </w:pPr>
    </w:p>
    <w:p w14:paraId="5474C2CE">
      <w:pPr>
        <w:tabs>
          <w:tab w:val="left" w:pos="3396"/>
        </w:tabs>
        <w:bidi w:val="0"/>
        <w:jc w:val="center"/>
        <w:rPr>
          <w:rFonts w:hint="eastAsia" w:ascii="楷体" w:hAnsi="楷体" w:eastAsia="楷体" w:cs="楷体"/>
          <w:b/>
          <w:bCs/>
          <w:lang w:val="en-US" w:eastAsia="zh-CN"/>
        </w:rPr>
      </w:pPr>
    </w:p>
    <w:p w14:paraId="39FEEF65">
      <w:pPr>
        <w:tabs>
          <w:tab w:val="left" w:pos="3396"/>
        </w:tabs>
        <w:bidi w:val="0"/>
        <w:jc w:val="center"/>
        <w:rPr>
          <w:rFonts w:hint="eastAsia" w:ascii="楷体" w:hAnsi="楷体" w:eastAsia="楷体" w:cs="楷体"/>
          <w:b/>
          <w:bCs/>
          <w:lang w:val="en-US" w:eastAsia="zh-CN"/>
        </w:rPr>
      </w:pPr>
    </w:p>
    <w:p w14:paraId="648322CE">
      <w:pPr>
        <w:tabs>
          <w:tab w:val="left" w:pos="3396"/>
        </w:tabs>
        <w:bidi w:val="0"/>
        <w:jc w:val="center"/>
        <w:rPr>
          <w:rFonts w:hint="eastAsia" w:ascii="楷体" w:hAnsi="楷体" w:eastAsia="楷体" w:cs="楷体"/>
          <w:b/>
          <w:bCs/>
          <w:lang w:val="en-US" w:eastAsia="zh-CN"/>
        </w:rPr>
      </w:pPr>
    </w:p>
    <w:p w14:paraId="158F8B30">
      <w:pPr>
        <w:tabs>
          <w:tab w:val="left" w:pos="3396"/>
        </w:tabs>
        <w:bidi w:val="0"/>
        <w:jc w:val="center"/>
        <w:rPr>
          <w:rFonts w:hint="eastAsia" w:ascii="楷体" w:hAnsi="楷体" w:eastAsia="楷体" w:cs="楷体"/>
          <w:b/>
          <w:bCs/>
          <w:lang w:val="en-US" w:eastAsia="zh-CN"/>
        </w:rPr>
      </w:pPr>
    </w:p>
    <w:p w14:paraId="2FC15EC0">
      <w:pPr>
        <w:tabs>
          <w:tab w:val="left" w:pos="3396"/>
        </w:tabs>
        <w:bidi w:val="0"/>
        <w:jc w:val="both"/>
        <w:rPr>
          <w:rFonts w:hint="eastAsia" w:ascii="楷体" w:hAnsi="楷体" w:eastAsia="楷体" w:cs="楷体"/>
          <w:b/>
          <w:bCs/>
          <w:lang w:val="en-US" w:eastAsia="zh-CN"/>
        </w:rPr>
      </w:pPr>
    </w:p>
    <w:p w14:paraId="4E919509">
      <w:pPr>
        <w:tabs>
          <w:tab w:val="left" w:pos="3396"/>
        </w:tabs>
        <w:bidi w:val="0"/>
        <w:jc w:val="center"/>
        <w:rPr>
          <w:rFonts w:hint="eastAsia" w:ascii="楷体" w:hAnsi="楷体" w:eastAsia="楷体" w:cs="楷体"/>
          <w:b/>
          <w:bCs/>
          <w:lang w:val="en-US" w:eastAsia="zh-CN"/>
        </w:rPr>
      </w:pPr>
      <w:r>
        <w:rPr>
          <w:rFonts w:hint="eastAsia" w:ascii="楷体" w:hAnsi="楷体" w:eastAsia="楷体" w:cs="楷体"/>
          <w:b/>
          <w:bCs/>
          <w:lang w:val="en-US" w:eastAsia="zh-CN"/>
        </w:rPr>
        <w:t>2025年全县国民体质监测现场</w:t>
      </w:r>
    </w:p>
    <w:p w14:paraId="1CB2D612">
      <w:pPr>
        <w:pStyle w:val="2"/>
        <w:pageBreakBefore w:val="0"/>
        <w:wordWrap/>
        <w:overflowPunct/>
        <w:topLinePunct w:val="0"/>
        <w:bidi w:val="0"/>
        <w:spacing w:before="0" w:after="0" w:line="560" w:lineRule="exact"/>
        <w:ind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drawing>
          <wp:anchor distT="0" distB="0" distL="114300" distR="114300" simplePos="0" relativeHeight="251667456" behindDoc="0" locked="0" layoutInCell="1" allowOverlap="1">
            <wp:simplePos x="0" y="0"/>
            <wp:positionH relativeFrom="column">
              <wp:posOffset>377825</wp:posOffset>
            </wp:positionH>
            <wp:positionV relativeFrom="paragraph">
              <wp:posOffset>19685</wp:posOffset>
            </wp:positionV>
            <wp:extent cx="4740910" cy="3556000"/>
            <wp:effectExtent l="0" t="0" r="2540" b="6350"/>
            <wp:wrapNone/>
            <wp:docPr id="1" name="图片 1" descr="滨湖湿地公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滨湖湿地公园1"/>
                    <pic:cNvPicPr>
                      <a:picLocks noChangeAspect="1"/>
                    </pic:cNvPicPr>
                  </pic:nvPicPr>
                  <pic:blipFill>
                    <a:blip r:embed="rId10"/>
                    <a:stretch>
                      <a:fillRect/>
                    </a:stretch>
                  </pic:blipFill>
                  <pic:spPr>
                    <a:xfrm>
                      <a:off x="0" y="0"/>
                      <a:ext cx="4740910" cy="3556000"/>
                    </a:xfrm>
                    <a:prstGeom prst="rect">
                      <a:avLst/>
                    </a:prstGeom>
                  </pic:spPr>
                </pic:pic>
              </a:graphicData>
            </a:graphic>
          </wp:anchor>
        </w:drawing>
      </w:r>
    </w:p>
    <w:p w14:paraId="439E606B">
      <w:pPr>
        <w:pStyle w:val="2"/>
        <w:pageBreakBefore w:val="0"/>
        <w:wordWrap/>
        <w:overflowPunct/>
        <w:topLinePunct w:val="0"/>
        <w:bidi w:val="0"/>
        <w:spacing w:before="0" w:after="0" w:line="560" w:lineRule="exact"/>
        <w:ind w:firstLine="640" w:firstLineChars="200"/>
        <w:rPr>
          <w:rFonts w:hint="eastAsia" w:ascii="楷体" w:hAnsi="楷体" w:eastAsia="楷体" w:cs="楷体"/>
          <w:color w:val="auto"/>
          <w:sz w:val="32"/>
          <w:szCs w:val="32"/>
          <w:lang w:val="en-US" w:eastAsia="zh-CN"/>
        </w:rPr>
      </w:pPr>
    </w:p>
    <w:p w14:paraId="1770E705">
      <w:pPr>
        <w:pStyle w:val="2"/>
        <w:pageBreakBefore w:val="0"/>
        <w:wordWrap/>
        <w:overflowPunct/>
        <w:topLinePunct w:val="0"/>
        <w:bidi w:val="0"/>
        <w:spacing w:before="0" w:after="0" w:line="560" w:lineRule="exact"/>
        <w:ind w:firstLine="640" w:firstLineChars="200"/>
        <w:rPr>
          <w:rFonts w:hint="eastAsia" w:ascii="楷体" w:hAnsi="楷体" w:eastAsia="楷体" w:cs="楷体"/>
          <w:color w:val="auto"/>
          <w:sz w:val="32"/>
          <w:szCs w:val="32"/>
          <w:lang w:val="en-US" w:eastAsia="zh-CN"/>
        </w:rPr>
      </w:pPr>
    </w:p>
    <w:p w14:paraId="6BB49305">
      <w:pPr>
        <w:pStyle w:val="2"/>
        <w:pageBreakBefore w:val="0"/>
        <w:wordWrap/>
        <w:overflowPunct/>
        <w:topLinePunct w:val="0"/>
        <w:bidi w:val="0"/>
        <w:spacing w:before="0" w:after="0" w:line="560" w:lineRule="exact"/>
        <w:ind w:firstLine="640" w:firstLineChars="200"/>
        <w:rPr>
          <w:rFonts w:hint="eastAsia" w:ascii="楷体" w:hAnsi="楷体" w:eastAsia="楷体" w:cs="楷体"/>
          <w:color w:val="auto"/>
          <w:sz w:val="32"/>
          <w:szCs w:val="32"/>
          <w:lang w:val="en-US" w:eastAsia="zh-CN"/>
        </w:rPr>
      </w:pPr>
    </w:p>
    <w:p w14:paraId="5A59F656">
      <w:pPr>
        <w:pStyle w:val="2"/>
        <w:pageBreakBefore w:val="0"/>
        <w:wordWrap/>
        <w:overflowPunct/>
        <w:topLinePunct w:val="0"/>
        <w:bidi w:val="0"/>
        <w:spacing w:before="0" w:after="0" w:line="560" w:lineRule="exact"/>
        <w:ind w:firstLine="640" w:firstLineChars="200"/>
        <w:rPr>
          <w:rFonts w:hint="eastAsia" w:ascii="楷体" w:hAnsi="楷体" w:eastAsia="楷体" w:cs="楷体"/>
          <w:color w:val="auto"/>
          <w:sz w:val="32"/>
          <w:szCs w:val="32"/>
          <w:lang w:val="en-US" w:eastAsia="zh-CN"/>
        </w:rPr>
      </w:pPr>
    </w:p>
    <w:p w14:paraId="031D44A7">
      <w:pPr>
        <w:pStyle w:val="2"/>
        <w:pageBreakBefore w:val="0"/>
        <w:wordWrap/>
        <w:overflowPunct/>
        <w:topLinePunct w:val="0"/>
        <w:bidi w:val="0"/>
        <w:spacing w:before="0" w:after="0" w:line="560" w:lineRule="exact"/>
        <w:ind w:firstLine="640" w:firstLineChars="200"/>
        <w:rPr>
          <w:rFonts w:hint="eastAsia" w:ascii="楷体" w:hAnsi="楷体" w:eastAsia="楷体" w:cs="楷体"/>
          <w:color w:val="auto"/>
          <w:sz w:val="32"/>
          <w:szCs w:val="32"/>
          <w:lang w:val="en-US" w:eastAsia="zh-CN"/>
        </w:rPr>
      </w:pPr>
    </w:p>
    <w:p w14:paraId="2A34C3EC">
      <w:pPr>
        <w:rPr>
          <w:rFonts w:hint="eastAsia" w:ascii="楷体" w:hAnsi="楷体" w:eastAsia="楷体" w:cs="楷体"/>
          <w:color w:val="auto"/>
          <w:sz w:val="32"/>
          <w:szCs w:val="32"/>
          <w:lang w:val="en-US" w:eastAsia="zh-CN"/>
        </w:rPr>
      </w:pPr>
    </w:p>
    <w:p w14:paraId="08E2FCCA">
      <w:pPr>
        <w:rPr>
          <w:rFonts w:hint="eastAsia" w:ascii="楷体" w:hAnsi="楷体" w:eastAsia="楷体" w:cs="楷体"/>
          <w:color w:val="auto"/>
          <w:sz w:val="32"/>
          <w:szCs w:val="32"/>
          <w:lang w:val="en-US" w:eastAsia="zh-CN"/>
        </w:rPr>
      </w:pPr>
    </w:p>
    <w:p w14:paraId="3E6B4AE2">
      <w:pPr>
        <w:rPr>
          <w:rFonts w:hint="eastAsia" w:ascii="楷体" w:hAnsi="楷体" w:eastAsia="楷体" w:cs="楷体"/>
          <w:color w:val="auto"/>
          <w:sz w:val="32"/>
          <w:szCs w:val="32"/>
          <w:lang w:val="en-US" w:eastAsia="zh-CN"/>
        </w:rPr>
      </w:pPr>
    </w:p>
    <w:p w14:paraId="72DC121D">
      <w:pPr>
        <w:rPr>
          <w:rFonts w:hint="eastAsia" w:ascii="楷体" w:hAnsi="楷体" w:eastAsia="楷体" w:cs="楷体"/>
          <w:color w:val="auto"/>
          <w:sz w:val="32"/>
          <w:szCs w:val="32"/>
          <w:lang w:val="en-US" w:eastAsia="zh-CN"/>
        </w:rPr>
      </w:pPr>
    </w:p>
    <w:p w14:paraId="0B6142F4">
      <w:pPr>
        <w:tabs>
          <w:tab w:val="left" w:pos="3396"/>
        </w:tabs>
        <w:bidi w:val="0"/>
        <w:jc w:val="center"/>
        <w:rPr>
          <w:rFonts w:hint="default" w:ascii="楷体" w:hAnsi="楷体" w:eastAsia="楷体" w:cs="楷体"/>
          <w:b/>
          <w:bCs/>
          <w:lang w:val="en-US" w:eastAsia="zh-CN"/>
        </w:rPr>
      </w:pPr>
      <w:r>
        <w:rPr>
          <w:rFonts w:hint="eastAsia" w:ascii="楷体" w:hAnsi="楷体" w:eastAsia="楷体" w:cs="楷体"/>
          <w:b/>
          <w:bCs/>
          <w:lang w:val="en-US" w:eastAsia="zh-CN"/>
        </w:rPr>
        <w:t>2025年采购室外体育器材</w:t>
      </w:r>
    </w:p>
    <w:p w14:paraId="1AB4502E">
      <w:pPr>
        <w:pStyle w:val="2"/>
        <w:pageBreakBefore w:val="0"/>
        <w:wordWrap/>
        <w:overflowPunct/>
        <w:topLinePunct w:val="0"/>
        <w:bidi w:val="0"/>
        <w:spacing w:before="0" w:after="0" w:line="560" w:lineRule="exact"/>
        <w:rPr>
          <w:rFonts w:hint="eastAsia" w:ascii="楷体" w:hAnsi="楷体" w:eastAsia="楷体" w:cs="楷体"/>
          <w:color w:val="auto"/>
          <w:sz w:val="32"/>
          <w:szCs w:val="32"/>
          <w:lang w:val="en-US" w:eastAsia="zh-CN"/>
        </w:rPr>
      </w:pPr>
    </w:p>
    <w:p w14:paraId="00D5E56E">
      <w:pPr>
        <w:pStyle w:val="2"/>
        <w:pageBreakBefore w:val="0"/>
        <w:wordWrap/>
        <w:overflowPunct/>
        <w:topLinePunct w:val="0"/>
        <w:bidi w:val="0"/>
        <w:spacing w:before="0" w:after="0" w:line="560" w:lineRule="exact"/>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（二）媒体宣传</w:t>
      </w:r>
    </w:p>
    <w:p w14:paraId="19EE9E61">
      <w:pPr>
        <w:keepNext w:val="0"/>
        <w:keepLines w:val="0"/>
        <w:pageBreakBefore w:val="0"/>
        <w:widowControl/>
        <w:shd w:val="clear" w:color="auto" w:fill="FFFFFF"/>
        <w:kinsoku w:val="0"/>
        <w:wordWrap/>
        <w:overflowPunct/>
        <w:topLinePunct w:val="0"/>
        <w:autoSpaceDE w:val="0"/>
        <w:autoSpaceDN w:val="0"/>
        <w:bidi w:val="0"/>
        <w:adjustRightInd w:val="0"/>
        <w:snapToGrid w:val="0"/>
        <w:spacing w:line="560" w:lineRule="exact"/>
        <w:ind w:left="0" w:firstLine="640" w:firstLineChars="200"/>
        <w:jc w:val="both"/>
        <w:textAlignment w:val="baseline"/>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我们通过县级主流媒体和省体育信息平台对相关赛事活动的举办和体育设施的建设进行了宣传报道。</w:t>
      </w:r>
    </w:p>
    <w:p w14:paraId="3A683043">
      <w:pPr>
        <w:pStyle w:val="2"/>
        <w:numPr>
          <w:ilvl w:val="0"/>
          <w:numId w:val="0"/>
        </w:numPr>
      </w:pPr>
    </w:p>
    <w:p w14:paraId="0F6EF03E">
      <w:pPr>
        <w:bidi w:val="0"/>
        <w:rPr>
          <w:rFonts w:hint="eastAsia"/>
          <w:lang w:val="en-US" w:eastAsia="zh-CN"/>
        </w:rPr>
      </w:pPr>
    </w:p>
    <w:p w14:paraId="1B214936">
      <w:pPr>
        <w:bidi w:val="0"/>
        <w:rPr>
          <w:rFonts w:hint="eastAsia"/>
          <w:lang w:val="en-US" w:eastAsia="zh-CN"/>
        </w:rPr>
      </w:pPr>
    </w:p>
    <w:p w14:paraId="603B02AC">
      <w:pPr>
        <w:bidi w:val="0"/>
        <w:rPr>
          <w:rFonts w:hint="eastAsia"/>
          <w:lang w:val="en-US" w:eastAsia="zh-CN"/>
        </w:rPr>
      </w:pPr>
    </w:p>
    <w:p w14:paraId="173CE190">
      <w:pPr>
        <w:bidi w:val="0"/>
        <w:rPr>
          <w:rFonts w:hint="eastAsia"/>
          <w:lang w:val="en-US" w:eastAsia="zh-CN"/>
        </w:rPr>
      </w:pPr>
    </w:p>
    <w:p w14:paraId="60065E24">
      <w:pPr>
        <w:bidi w:val="0"/>
        <w:jc w:val="right"/>
        <w:rPr>
          <w:rFonts w:hint="eastAsia"/>
          <w:lang w:val="en-US" w:eastAsia="zh-CN"/>
        </w:rPr>
      </w:pPr>
    </w:p>
    <w:p w14:paraId="0978731C">
      <w:pPr>
        <w:bidi w:val="0"/>
        <w:jc w:val="right"/>
        <w:rPr>
          <w:rFonts w:hint="eastAsia"/>
          <w:lang w:val="en-US" w:eastAsia="zh-CN"/>
        </w:rPr>
      </w:pPr>
      <w:r>
        <w:drawing>
          <wp:anchor distT="0" distB="0" distL="114300" distR="114300" simplePos="0" relativeHeight="251665408" behindDoc="0" locked="0" layoutInCell="1" allowOverlap="1">
            <wp:simplePos x="0" y="0"/>
            <wp:positionH relativeFrom="column">
              <wp:posOffset>133350</wp:posOffset>
            </wp:positionH>
            <wp:positionV relativeFrom="paragraph">
              <wp:posOffset>227965</wp:posOffset>
            </wp:positionV>
            <wp:extent cx="5219700" cy="6178550"/>
            <wp:effectExtent l="0" t="0" r="0" b="1270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19700" cy="6178550"/>
                    </a:xfrm>
                    <a:prstGeom prst="rect">
                      <a:avLst/>
                    </a:prstGeom>
                    <a:noFill/>
                    <a:ln>
                      <a:noFill/>
                    </a:ln>
                  </pic:spPr>
                </pic:pic>
              </a:graphicData>
            </a:graphic>
          </wp:anchor>
        </w:drawing>
      </w:r>
    </w:p>
    <w:p w14:paraId="3F0F6579">
      <w:pPr>
        <w:bidi w:val="0"/>
        <w:jc w:val="right"/>
        <w:rPr>
          <w:rFonts w:hint="eastAsia"/>
          <w:lang w:val="en-US" w:eastAsia="zh-CN"/>
        </w:rPr>
      </w:pPr>
    </w:p>
    <w:p w14:paraId="30601258">
      <w:pPr>
        <w:bidi w:val="0"/>
        <w:jc w:val="right"/>
        <w:rPr>
          <w:rFonts w:hint="eastAsia"/>
          <w:lang w:val="en-US" w:eastAsia="zh-CN"/>
        </w:rPr>
      </w:pPr>
    </w:p>
    <w:p w14:paraId="00D925F7">
      <w:pPr>
        <w:bidi w:val="0"/>
        <w:jc w:val="right"/>
        <w:rPr>
          <w:rFonts w:hint="eastAsia"/>
          <w:lang w:val="en-US" w:eastAsia="zh-CN"/>
        </w:rPr>
      </w:pPr>
    </w:p>
    <w:p w14:paraId="33959253">
      <w:pPr>
        <w:bidi w:val="0"/>
        <w:jc w:val="right"/>
        <w:rPr>
          <w:rFonts w:hint="eastAsia"/>
          <w:lang w:val="en-US" w:eastAsia="zh-CN"/>
        </w:rPr>
      </w:pPr>
    </w:p>
    <w:p w14:paraId="006524DF">
      <w:pPr>
        <w:bidi w:val="0"/>
        <w:jc w:val="right"/>
        <w:rPr>
          <w:rFonts w:hint="eastAsia"/>
          <w:lang w:val="en-US" w:eastAsia="zh-CN"/>
        </w:rPr>
      </w:pPr>
    </w:p>
    <w:p w14:paraId="6A276CC5">
      <w:pPr>
        <w:bidi w:val="0"/>
        <w:jc w:val="right"/>
        <w:rPr>
          <w:rFonts w:hint="eastAsia"/>
          <w:lang w:val="en-US" w:eastAsia="zh-CN"/>
        </w:rPr>
      </w:pPr>
    </w:p>
    <w:p w14:paraId="06E032C2">
      <w:pPr>
        <w:bidi w:val="0"/>
        <w:jc w:val="right"/>
        <w:rPr>
          <w:rFonts w:hint="eastAsia"/>
          <w:lang w:val="en-US" w:eastAsia="zh-CN"/>
        </w:rPr>
      </w:pPr>
    </w:p>
    <w:p w14:paraId="1DF16082">
      <w:pPr>
        <w:bidi w:val="0"/>
        <w:jc w:val="right"/>
        <w:rPr>
          <w:rFonts w:hint="eastAsia"/>
          <w:lang w:val="en-US" w:eastAsia="zh-CN"/>
        </w:rPr>
      </w:pPr>
    </w:p>
    <w:p w14:paraId="4B7E3EF0">
      <w:pPr>
        <w:bidi w:val="0"/>
        <w:jc w:val="right"/>
        <w:rPr>
          <w:rFonts w:hint="eastAsia"/>
          <w:lang w:val="en-US" w:eastAsia="zh-CN"/>
        </w:rPr>
      </w:pPr>
    </w:p>
    <w:p w14:paraId="7673A7FB">
      <w:pPr>
        <w:bidi w:val="0"/>
        <w:jc w:val="right"/>
        <w:rPr>
          <w:rFonts w:hint="eastAsia"/>
          <w:lang w:val="en-US" w:eastAsia="zh-CN"/>
        </w:rPr>
      </w:pPr>
    </w:p>
    <w:p w14:paraId="251D1A6B">
      <w:pPr>
        <w:bidi w:val="0"/>
        <w:jc w:val="right"/>
        <w:rPr>
          <w:rFonts w:hint="eastAsia"/>
          <w:lang w:val="en-US" w:eastAsia="zh-CN"/>
        </w:rPr>
      </w:pPr>
    </w:p>
    <w:p w14:paraId="0247DF00">
      <w:pPr>
        <w:bidi w:val="0"/>
        <w:jc w:val="right"/>
        <w:rPr>
          <w:rFonts w:hint="eastAsia"/>
          <w:lang w:val="en-US" w:eastAsia="zh-CN"/>
        </w:rPr>
      </w:pPr>
    </w:p>
    <w:p w14:paraId="28D05AFA">
      <w:pPr>
        <w:pStyle w:val="2"/>
        <w:pageBreakBefore w:val="0"/>
        <w:widowControl w:val="0"/>
        <w:kinsoku/>
        <w:wordWrap/>
        <w:overflowPunct/>
        <w:topLinePunct w:val="0"/>
        <w:autoSpaceDE/>
        <w:autoSpaceDN/>
        <w:bidi w:val="0"/>
        <w:adjustRightInd/>
        <w:snapToGrid/>
        <w:spacing w:before="0" w:after="0" w:line="240" w:lineRule="exact"/>
        <w:jc w:val="both"/>
        <w:textAlignment w:val="auto"/>
        <w:rPr>
          <w:rFonts w:hint="eastAsia" w:ascii="楷体" w:hAnsi="楷体" w:eastAsia="楷体" w:cs="楷体"/>
          <w:b/>
          <w:bCs/>
          <w:color w:val="auto"/>
          <w:sz w:val="32"/>
          <w:szCs w:val="32"/>
          <w:lang w:val="en-US" w:eastAsia="zh-CN"/>
        </w:rPr>
      </w:pPr>
    </w:p>
    <w:p w14:paraId="4F528963">
      <w:pPr>
        <w:pStyle w:val="2"/>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楷体" w:hAnsi="楷体" w:eastAsia="楷体" w:cs="楷体"/>
          <w:b/>
          <w:bCs/>
          <w:color w:val="auto"/>
          <w:sz w:val="32"/>
          <w:szCs w:val="32"/>
          <w:lang w:val="en-US" w:eastAsia="zh-CN"/>
        </w:rPr>
      </w:pPr>
    </w:p>
    <w:p w14:paraId="521B4BF5">
      <w:pPr>
        <w:pStyle w:val="2"/>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楷体" w:hAnsi="楷体" w:eastAsia="楷体" w:cs="楷体"/>
          <w:b/>
          <w:bCs/>
          <w:color w:val="auto"/>
          <w:sz w:val="32"/>
          <w:szCs w:val="32"/>
          <w:lang w:val="en-US" w:eastAsia="zh-CN"/>
        </w:rPr>
      </w:pPr>
    </w:p>
    <w:p w14:paraId="23217DA2">
      <w:pPr>
        <w:pStyle w:val="2"/>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楷体" w:hAnsi="楷体" w:eastAsia="楷体" w:cs="楷体"/>
          <w:b/>
          <w:bCs/>
          <w:color w:val="auto"/>
          <w:sz w:val="32"/>
          <w:szCs w:val="32"/>
          <w:lang w:val="en-US" w:eastAsia="zh-CN"/>
        </w:rPr>
      </w:pPr>
    </w:p>
    <w:p w14:paraId="1A615C34">
      <w:pPr>
        <w:pStyle w:val="2"/>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楷体" w:hAnsi="楷体" w:eastAsia="楷体" w:cs="楷体"/>
          <w:b/>
          <w:bCs/>
          <w:color w:val="auto"/>
          <w:sz w:val="32"/>
          <w:szCs w:val="32"/>
          <w:lang w:val="en-US" w:eastAsia="zh-CN"/>
        </w:rPr>
      </w:pPr>
    </w:p>
    <w:p w14:paraId="039B8727">
      <w:pPr>
        <w:pStyle w:val="2"/>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楷体" w:hAnsi="楷体" w:eastAsia="楷体" w:cs="楷体"/>
          <w:b/>
          <w:bCs/>
          <w:color w:val="auto"/>
          <w:sz w:val="32"/>
          <w:szCs w:val="32"/>
          <w:lang w:val="en-US" w:eastAsia="zh-CN"/>
        </w:rPr>
      </w:pPr>
    </w:p>
    <w:p w14:paraId="3ECBC297">
      <w:pPr>
        <w:pStyle w:val="2"/>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楷体" w:hAnsi="楷体" w:eastAsia="楷体" w:cs="楷体"/>
          <w:b/>
          <w:bCs/>
          <w:color w:val="auto"/>
          <w:sz w:val="32"/>
          <w:szCs w:val="32"/>
          <w:lang w:val="en-US" w:eastAsia="zh-CN"/>
        </w:rPr>
      </w:pPr>
    </w:p>
    <w:p w14:paraId="56E9B18C">
      <w:pPr>
        <w:pStyle w:val="2"/>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楷体" w:hAnsi="楷体" w:eastAsia="楷体" w:cs="楷体"/>
          <w:b/>
          <w:bCs/>
          <w:color w:val="auto"/>
          <w:sz w:val="32"/>
          <w:szCs w:val="32"/>
          <w:lang w:val="en-US" w:eastAsia="zh-CN"/>
        </w:rPr>
      </w:pPr>
    </w:p>
    <w:p w14:paraId="732F8B0C">
      <w:pPr>
        <w:pStyle w:val="2"/>
        <w:keepNext/>
        <w:keepLines/>
        <w:pageBreakBefore w:val="0"/>
        <w:widowControl w:val="0"/>
        <w:kinsoku/>
        <w:wordWrap/>
        <w:overflowPunct/>
        <w:topLinePunct w:val="0"/>
        <w:autoSpaceDE/>
        <w:autoSpaceDN/>
        <w:bidi w:val="0"/>
        <w:adjustRightInd/>
        <w:snapToGrid/>
        <w:spacing w:before="0" w:after="0" w:line="400" w:lineRule="exact"/>
        <w:jc w:val="center"/>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金湖县社区运动会暨第二届篮球联赛在金湖发布宣传</w:t>
      </w:r>
    </w:p>
    <w:p w14:paraId="51706F61">
      <w:pPr>
        <w:pageBreakBefore w:val="0"/>
        <w:widowControl w:val="0"/>
        <w:kinsoku/>
        <w:wordWrap/>
        <w:overflowPunct/>
        <w:topLinePunct w:val="0"/>
        <w:autoSpaceDE/>
        <w:autoSpaceDN/>
        <w:bidi w:val="0"/>
        <w:adjustRightInd/>
        <w:snapToGrid/>
        <w:spacing w:line="240" w:lineRule="exact"/>
        <w:textAlignment w:val="auto"/>
        <w:rPr>
          <w:rFonts w:hint="eastAsia" w:ascii="楷体" w:hAnsi="楷体" w:eastAsia="楷体" w:cs="楷体"/>
          <w:b/>
          <w:bCs/>
          <w:color w:val="auto"/>
          <w:sz w:val="32"/>
          <w:szCs w:val="32"/>
          <w:lang w:val="en-US" w:eastAsia="zh-CN"/>
        </w:rPr>
      </w:pPr>
    </w:p>
    <w:p w14:paraId="39248D10">
      <w:pPr>
        <w:pStyle w:val="2"/>
        <w:rPr>
          <w:rFonts w:hint="eastAsia"/>
          <w:lang w:val="en-US" w:eastAsia="zh-CN"/>
        </w:rPr>
      </w:pPr>
    </w:p>
    <w:p w14:paraId="5C6CFA1C">
      <w:pPr>
        <w:pStyle w:val="2"/>
        <w:rPr>
          <w:rFonts w:hint="eastAsia"/>
          <w:lang w:val="en-US" w:eastAsia="zh-CN"/>
        </w:rPr>
      </w:pPr>
      <w:r>
        <w:drawing>
          <wp:anchor distT="0" distB="0" distL="114300" distR="114300" simplePos="0" relativeHeight="251666432" behindDoc="0" locked="0" layoutInCell="1" allowOverlap="1">
            <wp:simplePos x="0" y="0"/>
            <wp:positionH relativeFrom="column">
              <wp:posOffset>19050</wp:posOffset>
            </wp:positionH>
            <wp:positionV relativeFrom="paragraph">
              <wp:posOffset>141605</wp:posOffset>
            </wp:positionV>
            <wp:extent cx="5394960" cy="6299200"/>
            <wp:effectExtent l="0" t="0" r="15240" b="635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394960" cy="6299200"/>
                    </a:xfrm>
                    <a:prstGeom prst="rect">
                      <a:avLst/>
                    </a:prstGeom>
                    <a:noFill/>
                    <a:ln>
                      <a:noFill/>
                    </a:ln>
                  </pic:spPr>
                </pic:pic>
              </a:graphicData>
            </a:graphic>
          </wp:anchor>
        </w:drawing>
      </w:r>
    </w:p>
    <w:p w14:paraId="638C6601">
      <w:pPr>
        <w:pStyle w:val="2"/>
        <w:rPr>
          <w:rFonts w:hint="eastAsia"/>
          <w:lang w:val="en-US" w:eastAsia="zh-CN"/>
        </w:rPr>
      </w:pPr>
    </w:p>
    <w:p w14:paraId="59A62411">
      <w:pPr>
        <w:pStyle w:val="2"/>
        <w:rPr>
          <w:rFonts w:hint="eastAsia"/>
          <w:lang w:val="en-US" w:eastAsia="zh-CN"/>
        </w:rPr>
      </w:pPr>
    </w:p>
    <w:p w14:paraId="1F6127C9">
      <w:pPr>
        <w:pStyle w:val="2"/>
        <w:rPr>
          <w:rFonts w:hint="eastAsia"/>
          <w:lang w:val="en-US" w:eastAsia="zh-CN"/>
        </w:rPr>
      </w:pPr>
    </w:p>
    <w:p w14:paraId="658D36D3">
      <w:pPr>
        <w:pStyle w:val="2"/>
        <w:rPr>
          <w:rFonts w:hint="eastAsia"/>
          <w:lang w:val="en-US" w:eastAsia="zh-CN"/>
        </w:rPr>
      </w:pPr>
    </w:p>
    <w:p w14:paraId="77252EFE">
      <w:pPr>
        <w:pStyle w:val="2"/>
        <w:rPr>
          <w:rFonts w:hint="eastAsia"/>
          <w:lang w:val="en-US" w:eastAsia="zh-CN"/>
        </w:rPr>
      </w:pPr>
    </w:p>
    <w:p w14:paraId="7EB8396B">
      <w:pPr>
        <w:pStyle w:val="2"/>
        <w:rPr>
          <w:rFonts w:hint="eastAsia"/>
          <w:lang w:val="en-US" w:eastAsia="zh-CN"/>
        </w:rPr>
      </w:pPr>
    </w:p>
    <w:p w14:paraId="457A6C7B">
      <w:pPr>
        <w:pStyle w:val="2"/>
        <w:rPr>
          <w:rFonts w:hint="eastAsia"/>
          <w:lang w:val="en-US" w:eastAsia="zh-CN"/>
        </w:rPr>
      </w:pPr>
    </w:p>
    <w:p w14:paraId="7229652B">
      <w:pPr>
        <w:pStyle w:val="2"/>
        <w:jc w:val="both"/>
        <w:rPr>
          <w:rFonts w:hint="eastAsia" w:ascii="楷体" w:hAnsi="楷体" w:eastAsia="楷体" w:cs="楷体"/>
          <w:color w:val="auto"/>
          <w:sz w:val="32"/>
          <w:szCs w:val="32"/>
          <w:lang w:val="en-US" w:eastAsia="zh-CN"/>
        </w:rPr>
      </w:pPr>
    </w:p>
    <w:p w14:paraId="179F674A">
      <w:pPr>
        <w:pStyle w:val="2"/>
        <w:jc w:val="center"/>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2024年全县社区运动会启动仪式在市局网站宣传</w:t>
      </w:r>
    </w:p>
    <w:p w14:paraId="387716E8">
      <w:pPr>
        <w:bidi w:val="0"/>
        <w:rPr>
          <w:rFonts w:hint="eastAsia"/>
          <w:lang w:val="en-US" w:eastAsia="zh-CN"/>
        </w:rPr>
      </w:pPr>
    </w:p>
    <w:p w14:paraId="25F2F681">
      <w:pPr>
        <w:bidi w:val="0"/>
        <w:rPr>
          <w:rFonts w:hint="eastAsia"/>
          <w:lang w:val="en-US" w:eastAsia="zh-CN"/>
        </w:rPr>
      </w:pPr>
    </w:p>
    <w:p w14:paraId="3DC1B5DA">
      <w:pPr>
        <w:bidi w:val="0"/>
        <w:rPr>
          <w:rFonts w:hint="eastAsia"/>
          <w:lang w:val="en-US" w:eastAsia="zh-CN"/>
        </w:rPr>
      </w:pPr>
    </w:p>
    <w:p w14:paraId="22698011">
      <w:pPr>
        <w:bidi w:val="0"/>
        <w:rPr>
          <w:rFonts w:hint="eastAsia"/>
          <w:lang w:val="en-US" w:eastAsia="zh-CN"/>
        </w:rPr>
      </w:pPr>
    </w:p>
    <w:p w14:paraId="139C920D">
      <w:pPr>
        <w:bidi w:val="0"/>
        <w:rPr>
          <w:rFonts w:hint="eastAsia"/>
          <w:lang w:val="en-US" w:eastAsia="zh-CN"/>
        </w:rPr>
      </w:pPr>
    </w:p>
    <w:p w14:paraId="6CF38D76">
      <w:pPr>
        <w:tabs>
          <w:tab w:val="left" w:pos="3150"/>
        </w:tabs>
        <w:bidi w:val="0"/>
        <w:jc w:val="center"/>
        <w:rPr>
          <w:rFonts w:hint="default"/>
          <w:lang w:val="en-US" w:eastAsia="zh-CN"/>
        </w:rPr>
      </w:pPr>
      <w:r>
        <w:rPr>
          <w:rFonts w:hint="eastAsia" w:ascii="楷体" w:hAnsi="楷体" w:eastAsia="楷体" w:cs="楷体"/>
          <w:b/>
          <w:bCs/>
          <w:lang w:val="en-US" w:eastAsia="zh-CN"/>
        </w:rPr>
        <w:t>2025年棋盘古镇杯象棋公开赛在中国棋协公众号宣传</w:t>
      </w:r>
    </w:p>
    <w:sectPr>
      <w:pgSz w:w="11906" w:h="16838"/>
      <w:pgMar w:top="1984"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方正大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10811"/>
    <w:multiLevelType w:val="singleLevel"/>
    <w:tmpl w:val="BA510811"/>
    <w:lvl w:ilvl="0" w:tentative="0">
      <w:start w:val="1"/>
      <w:numFmt w:val="chineseCounting"/>
      <w:suff w:val="nothing"/>
      <w:lvlText w:val="（%1）"/>
      <w:lvlJc w:val="left"/>
      <w:pPr>
        <w:ind w:left="735"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11682C"/>
    <w:rsid w:val="1B890148"/>
    <w:rsid w:val="24EE673E"/>
    <w:rsid w:val="26E00365"/>
    <w:rsid w:val="38046181"/>
    <w:rsid w:val="4CB773DB"/>
    <w:rsid w:val="56967C39"/>
    <w:rsid w:val="609F1EBA"/>
    <w:rsid w:val="648775CD"/>
    <w:rsid w:val="73E30AD3"/>
    <w:rsid w:val="74D64ABD"/>
    <w:rsid w:val="7C663FF1"/>
    <w:rsid w:val="7D9C13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32"/>
      <w:szCs w:val="22"/>
      <w:lang w:val="en-US" w:eastAsia="zh-CN" w:bidi="ar-SA"/>
    </w:rPr>
  </w:style>
  <w:style w:type="paragraph" w:styleId="2">
    <w:name w:val="heading 2"/>
    <w:basedOn w:val="1"/>
    <w:next w:val="1"/>
    <w:semiHidden/>
    <w:unhideWhenUsed/>
    <w:qFormat/>
    <w:uiPriority w:val="9"/>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f3f22292-ea1d-4c80-a677-946ccbd3e77c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437F615A</paraID>
      <start>7</start>
      <end>8</end>
      <status>modified</status>
      <modifiedWord>—</modifiedWord>
      <trackRevisions>false</trackRevisions>
    </reviewItem>
    <reviewItem>
      <errorID>f4ed5b98-5a74-4fc1-9b89-f2eb291cf7ca</errorID>
      <errorWord>截止</errorWord>
      <group>L1_Word</group>
      <groupName>字词问题</groupName>
      <ability>L2_Typo</ability>
      <abilityName>字词错误</abilityName>
      <candidateList>
        <item>截至</item>
      </candidateList>
      <explain>〈动〉截止到（某个时候）：报名日期～本月底。</explain>
      <paraID>532C2F97</paraID>
      <start>109</start>
      <end>111</end>
      <status>modified</status>
      <modifiedWord>截至</modifiedWord>
      <trackRevisions>false</trackRevisions>
    </reviewItem>
    <reviewItem>
      <errorID>bcb3725d-f88f-4766-9725-5a47a38554ed</errorID>
      <errorWord>中国棋协</errorWord>
      <group>L1_Knowledge</group>
      <groupName>知识性问题</groupName>
      <ability>L2_Organization</ability>
      <abilityName>机构检查</abilityName>
      <candidateList>
        <item>中国记协</item>
      </candidateList>
      <explain>机关单位全简称表述错误</explain>
      <paraID>6CF38D76</paraID>
      <start>16</start>
      <end>20</end>
      <status>ignored</status>
      <modifiedWord/>
      <trackRevisions>false</trackRevisions>
    </reviewItem>
  </reviewItems>
  <config/>
</contractReview>
</file>

<file path=customXml/itemProps1.xml><?xml version="1.0" encoding="utf-8"?>
<ds:datastoreItem xmlns:ds="http://schemas.openxmlformats.org/officeDocument/2006/customXml" ds:itemID="{75a47851-a0c2-493e-9ae3-cafa81ee0335}">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1669</Words>
  <Characters>1796</Characters>
  <Lines>0</Lines>
  <Paragraphs>0</Paragraphs>
  <TotalTime>70</TotalTime>
  <ScaleCrop>false</ScaleCrop>
  <LinksUpToDate>false</LinksUpToDate>
  <CharactersWithSpaces>1798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2025-05-26T06:38:00Z</dcterms:created>
  <dc:creator>1</dc:creator>
  <cp:lastModifiedBy>想飞的鱼</cp:lastModifiedBy>
  <dcterms:modified xsi:type="dcterms:W3CDTF">2026-05-27T07:38:02Z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eyJoZGlkIjoiNjZhZTNkN2M5ZTQxMzA5YzhhZTBkNzcwNWI1MDI1MmMiLCJ1c2VySWQiOiIzOTEyNDA0NzEifQ==</vt:lpwstr>
  </property>
  <property fmtid="{D5CDD505-2E9C-101B-9397-08002B2CF9AE}" pid="4" name="ICV">
    <vt:lpwstr>87F7C60C8E7B4457B4C8073E8D9F9A07_13</vt:lpwstr>
  </property>
</Properties>
</file>