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F1B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20" w:lineRule="exact"/>
        <w:textAlignment w:val="auto"/>
        <w:rPr>
          <w:rFonts w:hint="default" w:ascii="Times New Roman" w:hAnsi="Times New Roman"/>
        </w:rPr>
      </w:pPr>
    </w:p>
    <w:p w14:paraId="58E1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4A6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118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3158" w:leftChars="0" w:hanging="3158" w:hangingChars="987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88BEDB"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A87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F2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-480" w:leftChars="-150" w:right="-480" w:rightChars="-150"/>
        <w:jc w:val="center"/>
        <w:textAlignment w:val="auto"/>
        <w:rPr>
          <w:rFonts w:hint="eastAsia" w:ascii="Times New Roman" w:hAnsi="Times New Roman" w:eastAsia="方正小标宋_GBK" w:cs="方正小标宋_GBK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  <w:t>关于印发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金湖县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县级政府投资项目管理办法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  <w:lang w:eastAsia="zh-CN"/>
        </w:rPr>
        <w:t>的</w:t>
      </w:r>
    </w:p>
    <w:p w14:paraId="52E6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  <w:t>通</w:t>
      </w:r>
      <w:r>
        <w:rPr>
          <w:rFonts w:hint="eastAsia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  <w:t>知</w:t>
      </w:r>
    </w:p>
    <w:p w14:paraId="6CD8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63F60F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各镇人民政府、各街道办事处，县各委办局，县各直属单位：</w:t>
      </w:r>
    </w:p>
    <w:p w14:paraId="4E450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《金湖县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县级政府投资项目管理办法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已经县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政府十五届33次常务会议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审议通过，现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印发给你们，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请认真贯彻落实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B01D1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FC43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39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金湖县人民政府</w:t>
      </w:r>
    </w:p>
    <w:p w14:paraId="5676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2B3F0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7" w:bottom="1984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 w14:paraId="63C69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val="en-US" w:eastAsia="zh-CN"/>
        </w:rPr>
        <w:t>金湖县县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</w:rPr>
        <w:t>级政府投资项目管理办法</w:t>
      </w:r>
    </w:p>
    <w:p w14:paraId="6B70AA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</w:pPr>
    </w:p>
    <w:p w14:paraId="7DBCAE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9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为了加强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政府投资项目全生命周期管理，规范政府投资行为，进一步提高政府投资效益，根据国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务院《政府投资条例》《江苏省政府投资管理办法》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淮安市市级政府投资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及有关规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定，结合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本县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实际，制定本办法。</w:t>
      </w:r>
    </w:p>
    <w:p w14:paraId="500747E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pacing w:val="128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本办法所称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政府投资项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目，是指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本县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行政区域内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使用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县本级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eastAsia="zh-CN"/>
        </w:rPr>
        <w:t>财政性资金进行固定资产投资的建设项目，包括新建、扩建、改建等项目。</w:t>
      </w:r>
    </w:p>
    <w:p w14:paraId="7103A45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符合国民经济和社会发展规划、国土空间总体规划和专项发展规划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与经济社会发展水平和财政收支状况相适应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，统筹安排并规范使用政府投资资金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，不得违法违规举借债务筹措政府投资资金；政府投资资金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主要</w:t>
      </w:r>
      <w:r>
        <w:rPr>
          <w:rFonts w:hint="eastAsia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投向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场不能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有效配置资源的社会公益服务、公共基础设施、农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业农村、生态环境保护、重大科技进步、社会管理、国家安全等公共领域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</w:rPr>
        <w:t>，以非经营性</w:t>
      </w:r>
      <w:r>
        <w:rPr>
          <w:rFonts w:hint="eastAsia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</w:rPr>
        <w:t>为主</w:t>
      </w:r>
      <w:r>
        <w:rPr>
          <w:rFonts w:hint="eastAsia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  <w:lang w:eastAsia="zh-CN"/>
        </w:rPr>
        <w:t>。</w:t>
      </w:r>
    </w:p>
    <w:p w14:paraId="58A8C9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9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43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发改委履行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政府投资综合管理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职责，负责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政府投资项目储备管理、立项审批、协调推进、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评估督查等，根据财政承受能力论证结果提出纳入年度投资计划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u w:val="none"/>
        </w:rPr>
        <w:t>项目建议。</w:t>
      </w:r>
    </w:p>
    <w:p w14:paraId="63AAA9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财政局为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政府投资资金综合管理部门，负责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审核拟纳入储备库和政府投资计划项目建设资金需求及资金来源，并出具财政承受能力论证意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</w:rPr>
        <w:t>见；负责项目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  <w:lang w:val="en-US" w:eastAsia="zh-CN"/>
        </w:rPr>
        <w:t>预算评审、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</w:rPr>
        <w:t>投资评审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</w:rPr>
        <w:t>匡、估、概算，工程进度款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和竣工财务决算审批，对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政府投资项目资金实行统一管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理、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专款专用、全程监管。</w:t>
      </w:r>
    </w:p>
    <w:p w14:paraId="71080E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审计局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按照有关规定对县级政府投资项目进行审计监督。</w:t>
      </w:r>
    </w:p>
    <w:p w14:paraId="514FA64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28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资规局、住建局、交通局、水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局、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文广旅游局、数据局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金湖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生态环境局</w:t>
      </w:r>
      <w:r>
        <w:rPr>
          <w:rFonts w:hint="eastAsia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及其他相关职能部门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按照职责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分工履行相应的县级政府投资项目管理职责。</w:t>
      </w:r>
    </w:p>
    <w:p w14:paraId="4CA0C8D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各行业主管单位要履行行业监管责任，加强项目审核把关及全过程监管。</w:t>
      </w:r>
    </w:p>
    <w:p w14:paraId="6B9392A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项目单位要落实主体责任，做好项目建设实施等相关工作。</w:t>
      </w:r>
    </w:p>
    <w:p w14:paraId="23CF78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开发区管委会、各镇（街道）履行县级政府投资项目属地管理职责。</w:t>
      </w:r>
    </w:p>
    <w:p w14:paraId="3DF323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87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 xml:space="preserve">  除涉及国家秘密的项目外，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>发改委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应当通过投资项目在线审批监管平台生成项目代码，办理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政府投资项目审批手续。</w:t>
      </w:r>
    </w:p>
    <w:p w14:paraId="0E015C1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6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/>
          <w:b/>
          <w:bCs/>
        </w:rPr>
        <w:t>条</w:t>
      </w:r>
      <w:r>
        <w:rPr>
          <w:rFonts w:hint="default"/>
        </w:rPr>
        <w:t xml:space="preserve">  </w:t>
      </w:r>
      <w:r>
        <w:rPr>
          <w:rFonts w:hint="eastAsia"/>
          <w:lang w:val="en-US" w:eastAsia="zh-CN"/>
        </w:rPr>
        <w:t>县级政府投资项目要严格执行先评估再决策、先决策再审批的程序要求。</w:t>
      </w:r>
    </w:p>
    <w:p w14:paraId="46B64F3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项目建议书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可行性研究报告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初步设计及概算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的编制、审批、变更及简化审批程序，按照国务院《政府投资条例》《江苏省政府投资管理办法》《淮安市市级政府投资项目管理办法》执行，项目单位对提供材料的真实性负责。</w:t>
      </w:r>
    </w:p>
    <w:p w14:paraId="7AA4EFA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县发改委根据项目实际情况按照国家、省、市、县有关规定开展咨询评估。</w:t>
      </w:r>
    </w:p>
    <w:p w14:paraId="25D056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县财政局对县级政府投资项目投资估、概算开展评审，县发改委依据评审结果对符合国家、省、市、县有关规定的项目批准可行性研究报告、初步设计及概算。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经批准的投资概算是控制县级政府投资项目总投资的依据。</w:t>
      </w:r>
    </w:p>
    <w:p w14:paraId="74AD67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初步设计及概算提出项目总投资超过可行性研究报告批复的总投资10%的，项目单位应当向县发改委报告，并重新报送可行性研究报告。</w:t>
      </w:r>
    </w:p>
    <w:p w14:paraId="2159E8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项目立项批复文件有效期为两年。有效期内依法开工的项目，批复文件不受有效期限制。有效期内未能开工项目可在有效期届满30个工作日前向县发改委提出延期申请，只能延期一次，期限不超过一年。超出有效期且未办理延期的批文自动失效。</w:t>
      </w:r>
    </w:p>
    <w:p w14:paraId="0AC2A1D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采取集中建设方式组织实施的县级政府投资项目，按照《江苏省政府投资工程集中建设管理办法》（江苏省人民政府令第181号）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等相关规定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执行。</w:t>
      </w:r>
    </w:p>
    <w:p w14:paraId="28B2E9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1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57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发改委对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有下列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不符合规定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情形之一的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不予批准，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应当书面通知项目单位。</w:t>
      </w:r>
    </w:p>
    <w:p w14:paraId="3AF28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rightChars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未经批准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或者不符合规定的建设条件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开工建设的；</w:t>
      </w:r>
    </w:p>
    <w:p w14:paraId="1675E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rightChars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决策不科学、用地无保障、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资金未落实的；</w:t>
      </w:r>
    </w:p>
    <w:p w14:paraId="28689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rightChars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（三）其他不符合国家、省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县相关规定的。</w:t>
      </w:r>
    </w:p>
    <w:p w14:paraId="3B02F5D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9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政府投资项目年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</w:rPr>
        <w:t>度计划应当和本级预算相衔接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eastAsia="zh-CN"/>
        </w:rPr>
        <w:t>。</w:t>
      </w:r>
    </w:p>
    <w:p w14:paraId="1C72C9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编制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政府投资年度计划应当履行下列程序：</w:t>
      </w:r>
    </w:p>
    <w:p w14:paraId="21C0C94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每年</w:t>
      </w:r>
      <w:r>
        <w:rPr>
          <w:rFonts w:hint="eastAsia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九月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有关部门向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发改委提出纳入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政府投资项目年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u w:val="none"/>
        </w:rPr>
        <w:t>度计划的申请；</w:t>
      </w:r>
    </w:p>
    <w:p w14:paraId="4032DBF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724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每年四季度，县发改委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会同县财政局根据年度财政承受能力，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三类项目（政府采取直接投资、资本金注入方式投入的，可行性研究报告已经批准或投资概算已经核定的项目；政府采取投资补助、贷款贴息等方式投入的，已经按照国家有关规定办理手续的项目；经县委、县政府确定实施的项目）进行汇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形成下一年度县级政府投资计划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草案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；</w:t>
      </w:r>
    </w:p>
    <w:p w14:paraId="3916A6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县级政府投资计划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草案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政府常务</w:t>
      </w:r>
      <w:r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val="en-US" w:eastAsia="zh-CN"/>
        </w:rPr>
        <w:t>会议、县委常委会（扩大）会议研究同意，报县人代会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议通过后，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由县政府</w:t>
      </w:r>
      <w:r>
        <w:rPr>
          <w:rFonts w:hint="eastAsia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政府投资年度计划，作为实施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的依据。</w:t>
      </w:r>
    </w:p>
    <w:p w14:paraId="216359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项目单位应当严格执行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政府投资年度计划，不得随意调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</w:rPr>
        <w:t>整。确需调整的，由主管部门或者项目单位</w:t>
      </w:r>
      <w:r>
        <w:rPr>
          <w:rFonts w:hint="eastAsia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val="en-US" w:eastAsia="zh-CN"/>
        </w:rPr>
        <w:t>向县政府提出申请按原批准程序进行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u w:val="none"/>
        </w:rPr>
        <w:t>调整。</w:t>
      </w:r>
    </w:p>
    <w:p w14:paraId="22084FB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87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2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28"/>
          <w:sz w:val="32"/>
          <w:szCs w:val="32"/>
          <w:highlight w:val="none"/>
          <w:u w:val="none"/>
          <w:lang w:val="en-US" w:eastAsia="zh-CN"/>
        </w:rPr>
        <w:t>县级政府投资项目资金应按照国家、省市县相关规定落实到位，不得由施工单位垫资建设。</w:t>
      </w:r>
    </w:p>
    <w:p w14:paraId="201EF84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>政府投资项目开工建设，应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当符合有关法律、行政法规规定的建设条件；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按照国家有关规定合理确定并严格执行建设工期，任何单位和个人不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得非</w:t>
      </w:r>
      <w:r>
        <w:rPr>
          <w:rFonts w:hint="default" w:ascii="Times New Roman" w:hAnsi="Times New Roman" w:eastAsia="仿宋_GB2312" w:cs="Times New Roman"/>
          <w:color w:val="auto"/>
          <w:spacing w:val="28"/>
          <w:sz w:val="32"/>
          <w:szCs w:val="32"/>
          <w:highlight w:val="none"/>
          <w:u w:val="none"/>
        </w:rPr>
        <w:t>法干预。</w:t>
      </w:r>
    </w:p>
    <w:p w14:paraId="7E4E39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项目单位不按期组织项目开工实施的，由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委会同相关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部门责令限期整改。逾期不整改的，由主管部门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或者项目单位向县政府提出申请按</w:t>
      </w:r>
      <w:r>
        <w:rPr>
          <w:rFonts w:hint="eastAsia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val="en-US" w:eastAsia="zh-CN"/>
        </w:rPr>
        <w:t>原批准程序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撤销项目投资计划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。不能按期竣工的，由主管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部门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或者项目单位提请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政府专题研究会办。</w:t>
      </w:r>
    </w:p>
    <w:p w14:paraId="0959D74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9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44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政府投资项目实行按月调度推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进。每月底前项目单位应当如实</w:t>
      </w:r>
      <w:r>
        <w:rPr>
          <w:rFonts w:hint="eastAsia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项目</w:t>
      </w:r>
      <w:r>
        <w:rPr>
          <w:rFonts w:hint="eastAsia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开竣工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情况、形象进度、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完成投资、竣工情况等建设进度信息报送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发改委，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发改委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将进展情况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汇总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报送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政府。</w:t>
      </w:r>
    </w:p>
    <w:p w14:paraId="790529F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59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县属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国有企业实施的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级政府投资项目，适用本办法。</w:t>
      </w:r>
    </w:p>
    <w:p w14:paraId="4FBC15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其他未尽事宜，依据国务院《政府投资条例》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《江苏省政府投资管理办法》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《淮安市市级政府投资项目管理办法》等国家、省、市、县相关规定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执行。</w:t>
      </w:r>
    </w:p>
    <w:p w14:paraId="04E1753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 xml:space="preserve">第十二条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本办法由金湖县人民政府负责解释，具体解释工作由金湖县发展和改革委员会负责。</w:t>
      </w:r>
    </w:p>
    <w:p w14:paraId="3D7A16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firstLine="663" w:firstLineChars="200"/>
        <w:jc w:val="both"/>
        <w:textAlignment w:val="baseline"/>
        <w:rPr>
          <w:rFonts w:hint="eastAsia" w:ascii="Times New Roman" w:hAnsi="Times New Roman" w:eastAsia="仿宋_GB2312" w:cs="Times New Roman"/>
          <w:strike w:val="0"/>
          <w:dstrike w:val="0"/>
          <w:color w:val="auto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十三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本办法自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年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月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日起施行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</w:rPr>
        <w:t>有效期至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2031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年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月</w:t>
      </w:r>
      <w:r>
        <w:rPr>
          <w:rFonts w:hint="eastAsia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《金湖县县级政府投资项目生成实施办法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试行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金政发〔2022〕10号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自本办法施行之日同步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废止。</w:t>
      </w:r>
    </w:p>
    <w:p w14:paraId="36FB61EB"/>
    <w:sectPr>
      <w:footerReference r:id="rId5" w:type="default"/>
      <w:pgSz w:w="11900" w:h="16840"/>
      <w:pgMar w:top="2098" w:right="1474" w:bottom="1984" w:left="1587" w:header="0" w:footer="117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E0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D2F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D2F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07EB">
    <w:pPr>
      <w:pStyle w:val="2"/>
      <w:spacing w:line="233" w:lineRule="auto"/>
      <w:ind w:left="7735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B858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B858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8B7C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46C8"/>
    <w:rsid w:val="01125023"/>
    <w:rsid w:val="16E5700B"/>
    <w:rsid w:val="1B1A07D7"/>
    <w:rsid w:val="291F392A"/>
    <w:rsid w:val="31D16B69"/>
    <w:rsid w:val="413546C8"/>
    <w:rsid w:val="4A722025"/>
    <w:rsid w:val="4BFB0CB5"/>
    <w:rsid w:val="50993F8F"/>
    <w:rsid w:val="6AFA1686"/>
    <w:rsid w:val="6BEF34C9"/>
    <w:rsid w:val="6F751908"/>
    <w:rsid w:val="761E26AD"/>
    <w:rsid w:val="774706AB"/>
    <w:rsid w:val="7EE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2460</Words>
  <Characters>2484</Characters>
  <Lines>0</Lines>
  <Paragraphs>0</Paragraphs>
  <TotalTime>34</TotalTime>
  <ScaleCrop>false</ScaleCrop>
  <LinksUpToDate>false</LinksUpToDate>
  <CharactersWithSpaces>2560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2026-01-21T01:35:00Z</dcterms:created>
  <dc:creator>清 晖</dc:creator>
  <cp:lastModifiedBy>清 晖</cp:lastModifiedBy>
  <cp:lastPrinted>2026-02-04T09:17:13Z</cp:lastPrinted>
  <dcterms:modified xsi:type="dcterms:W3CDTF">2026-02-04T09:20:49Z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4D0D1E06C8324094B08EA46245916B39_11</vt:lpwstr>
  </property>
  <property fmtid="{D5CDD505-2E9C-101B-9397-08002B2CF9AE}" pid="4" name="KSOTemplateDocerSaveRecord">
    <vt:lpwstr>eyJoZGlkIjoiMzZkNTE2NmUyY2QwYmIxYThkMzI2NzdlNzg3ZDY0ZTMiLCJ1c2VySWQiOiIzNTc1NTk2NTkifQ==</vt:lpwstr>
  </property>
</Properties>
</file>