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AA456">
      <w:pPr>
        <w:keepNext w:val="0"/>
        <w:keepLines w:val="0"/>
        <w:pageBreakBefore w:val="0"/>
        <w:widowControl w:val="0"/>
        <w:kinsoku/>
        <w:wordWrap/>
        <w:overflowPunct/>
        <w:topLinePunct w:val="0"/>
        <w:autoSpaceDE/>
        <w:autoSpaceDN/>
        <w:bidi w:val="0"/>
        <w:adjustRightInd/>
        <w:snapToGrid w:val="0"/>
        <w:spacing w:line="620" w:lineRule="exact"/>
        <w:textAlignment w:val="auto"/>
        <w:rPr>
          <w:rFonts w:hint="default" w:ascii="Times New Roman" w:hAnsi="Times New Roman" w:eastAsia="仿宋_GB2312" w:cs="Times New Roman"/>
          <w:sz w:val="32"/>
          <w:szCs w:val="32"/>
        </w:rPr>
      </w:pPr>
    </w:p>
    <w:p w14:paraId="6BE6FD8A">
      <w:pPr>
        <w:keepNext w:val="0"/>
        <w:keepLines w:val="0"/>
        <w:pageBreakBefore w:val="0"/>
        <w:widowControl w:val="0"/>
        <w:kinsoku/>
        <w:wordWrap/>
        <w:overflowPunct/>
        <w:topLinePunct w:val="0"/>
        <w:autoSpaceDE/>
        <w:autoSpaceDN/>
        <w:bidi w:val="0"/>
        <w:adjustRightInd/>
        <w:snapToGrid w:val="0"/>
        <w:spacing w:line="620" w:lineRule="exact"/>
        <w:textAlignment w:val="auto"/>
        <w:rPr>
          <w:rFonts w:hint="default" w:ascii="Times New Roman" w:hAnsi="Times New Roman" w:eastAsia="仿宋_GB2312" w:cs="Times New Roman"/>
          <w:sz w:val="32"/>
          <w:szCs w:val="32"/>
        </w:rPr>
      </w:pPr>
    </w:p>
    <w:p w14:paraId="3EEB4BEC">
      <w:pPr>
        <w:keepNext w:val="0"/>
        <w:keepLines w:val="0"/>
        <w:pageBreakBefore w:val="0"/>
        <w:widowControl w:val="0"/>
        <w:kinsoku/>
        <w:wordWrap/>
        <w:overflowPunct/>
        <w:topLinePunct w:val="0"/>
        <w:autoSpaceDE/>
        <w:autoSpaceDN/>
        <w:bidi w:val="0"/>
        <w:adjustRightInd/>
        <w:snapToGrid w:val="0"/>
        <w:spacing w:line="620" w:lineRule="exact"/>
        <w:textAlignment w:val="auto"/>
        <w:rPr>
          <w:rFonts w:hint="default" w:ascii="Times New Roman" w:hAnsi="Times New Roman" w:eastAsia="仿宋_GB2312" w:cs="Times New Roman"/>
          <w:sz w:val="32"/>
          <w:szCs w:val="32"/>
        </w:rPr>
      </w:pPr>
    </w:p>
    <w:p w14:paraId="0762DF3E">
      <w:pPr>
        <w:keepNext w:val="0"/>
        <w:keepLines w:val="0"/>
        <w:pageBreakBefore w:val="0"/>
        <w:widowControl w:val="0"/>
        <w:kinsoku/>
        <w:wordWrap/>
        <w:overflowPunct/>
        <w:topLinePunct w:val="0"/>
        <w:autoSpaceDE/>
        <w:autoSpaceDN/>
        <w:bidi w:val="0"/>
        <w:adjustRightInd/>
        <w:snapToGrid w:val="0"/>
        <w:spacing w:line="620" w:lineRule="exact"/>
        <w:textAlignment w:val="auto"/>
        <w:rPr>
          <w:rFonts w:hint="default" w:ascii="Times New Roman" w:hAnsi="Times New Roman" w:eastAsia="仿宋_GB2312" w:cs="Times New Roman"/>
          <w:sz w:val="32"/>
          <w:szCs w:val="32"/>
        </w:rPr>
      </w:pPr>
    </w:p>
    <w:p w14:paraId="2083EFD2">
      <w:pPr>
        <w:keepNext w:val="0"/>
        <w:keepLines w:val="0"/>
        <w:pageBreakBefore w:val="0"/>
        <w:widowControl w:val="0"/>
        <w:kinsoku/>
        <w:wordWrap/>
        <w:overflowPunct/>
        <w:topLinePunct w:val="0"/>
        <w:autoSpaceDE/>
        <w:autoSpaceDN/>
        <w:bidi w:val="0"/>
        <w:adjustRightInd/>
        <w:snapToGrid w:val="0"/>
        <w:spacing w:line="620" w:lineRule="exact"/>
        <w:textAlignment w:val="auto"/>
        <w:rPr>
          <w:rFonts w:hint="default" w:ascii="Times New Roman" w:hAnsi="Times New Roman" w:eastAsia="仿宋_GB2312" w:cs="Times New Roman"/>
          <w:sz w:val="32"/>
          <w:szCs w:val="32"/>
        </w:rPr>
      </w:pPr>
    </w:p>
    <w:p w14:paraId="3FF48124">
      <w:pPr>
        <w:keepNext w:val="0"/>
        <w:keepLines w:val="0"/>
        <w:pageBreakBefore w:val="0"/>
        <w:widowControl w:val="0"/>
        <w:kinsoku/>
        <w:wordWrap/>
        <w:overflowPunct/>
        <w:topLinePunct w:val="0"/>
        <w:autoSpaceDN/>
        <w:bidi w:val="0"/>
        <w:adjustRightInd/>
        <w:snapToGrid w:val="0"/>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金政</w:t>
      </w:r>
      <w:r>
        <w:rPr>
          <w:rFonts w:hint="default" w:ascii="Times New Roman" w:hAnsi="Times New Roman" w:eastAsia="仿宋_GB2312" w:cs="Times New Roman"/>
          <w:sz w:val="32"/>
          <w:szCs w:val="32"/>
          <w:lang w:val="en-US" w:eastAsia="zh-CN"/>
        </w:rPr>
        <w:t>规</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p>
    <w:p w14:paraId="21644ECE">
      <w:pPr>
        <w:keepNext w:val="0"/>
        <w:keepLines w:val="0"/>
        <w:pageBreakBefore w:val="0"/>
        <w:widowControl w:val="0"/>
        <w:kinsoku/>
        <w:wordWrap/>
        <w:overflowPunct/>
        <w:topLinePunct w:val="0"/>
        <w:autoSpaceDN/>
        <w:bidi w:val="0"/>
        <w:adjustRightInd/>
        <w:snapToGrid w:val="0"/>
        <w:spacing w:line="560" w:lineRule="exact"/>
        <w:jc w:val="center"/>
        <w:textAlignment w:val="auto"/>
        <w:rPr>
          <w:rFonts w:hint="default" w:ascii="Times New Roman" w:hAnsi="Times New Roman" w:eastAsia="仿宋" w:cs="Times New Roman"/>
          <w:sz w:val="32"/>
          <w:szCs w:val="32"/>
        </w:rPr>
      </w:pPr>
    </w:p>
    <w:p w14:paraId="696B0A69">
      <w:pPr>
        <w:keepNext w:val="0"/>
        <w:keepLines w:val="0"/>
        <w:pageBreakBefore w:val="0"/>
        <w:widowControl w:val="0"/>
        <w:kinsoku/>
        <w:wordWrap/>
        <w:overflowPunct/>
        <w:topLinePunct w:val="0"/>
        <w:autoSpaceDN/>
        <w:bidi w:val="0"/>
        <w:adjustRightInd/>
        <w:snapToGrid w:val="0"/>
        <w:spacing w:line="560" w:lineRule="exact"/>
        <w:textAlignment w:val="auto"/>
        <w:rPr>
          <w:rFonts w:hint="default" w:ascii="Times New Roman" w:hAnsi="Times New Roman" w:eastAsia="方正小标宋简体" w:cs="Times New Roman"/>
          <w:sz w:val="32"/>
          <w:szCs w:val="32"/>
        </w:rPr>
      </w:pPr>
    </w:p>
    <w:p w14:paraId="7201A4B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关于印发《金湖县城市基础设施配套费征收</w:t>
      </w:r>
    </w:p>
    <w:p w14:paraId="398CBDF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管理办法》的通知</w:t>
      </w:r>
    </w:p>
    <w:p w14:paraId="68A06C5D">
      <w:pPr>
        <w:autoSpaceDE w:val="0"/>
        <w:autoSpaceDN w:val="0"/>
        <w:adjustRightInd w:val="0"/>
        <w:snapToGrid w:val="0"/>
        <w:spacing w:line="560" w:lineRule="exact"/>
        <w:textAlignment w:val="baseline"/>
        <w:rPr>
          <w:rFonts w:hint="eastAsia" w:ascii="Times New Roman" w:hAnsi="Times New Roman" w:eastAsia="方正仿宋_GBK" w:cs="Times New Roman"/>
          <w:sz w:val="32"/>
          <w:szCs w:val="32"/>
        </w:rPr>
      </w:pPr>
    </w:p>
    <w:p w14:paraId="58F08E32">
      <w:pPr>
        <w:autoSpaceDE w:val="0"/>
        <w:autoSpaceDN w:val="0"/>
        <w:adjustRightInd w:val="0"/>
        <w:snapToGrid w:val="0"/>
        <w:spacing w:line="560" w:lineRule="exact"/>
        <w:textAlignment w:val="baseline"/>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各镇人民政府、街道办事处，县各委办局，县各直属单位</w:t>
      </w:r>
      <w:r>
        <w:rPr>
          <w:rFonts w:hint="eastAsia" w:ascii="Times New Roman" w:hAnsi="Times New Roman" w:eastAsia="方正仿宋_GBK" w:cs="Times New Roman"/>
          <w:sz w:val="32"/>
          <w:szCs w:val="32"/>
          <w:lang w:eastAsia="zh-CN"/>
        </w:rPr>
        <w:t>：</w:t>
      </w:r>
    </w:p>
    <w:p w14:paraId="36237B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方正仿宋_GBK" w:cs="Times New Roman"/>
          <w:sz w:val="32"/>
          <w:szCs w:val="32"/>
        </w:rPr>
        <w:t>《金湖县城市基础设施配套费征收管理办法》已经县</w:t>
      </w:r>
      <w:r>
        <w:rPr>
          <w:rFonts w:hint="eastAsia" w:ascii="Times New Roman" w:hAnsi="Times New Roman" w:eastAsia="方正仿宋_GBK" w:cs="Times New Roman"/>
          <w:sz w:val="32"/>
          <w:szCs w:val="32"/>
          <w:lang w:val="en-US" w:eastAsia="zh-CN"/>
        </w:rPr>
        <w:t>政府</w:t>
      </w:r>
      <w:r>
        <w:rPr>
          <w:rFonts w:hint="eastAsia" w:ascii="Times New Roman" w:hAnsi="Times New Roman" w:eastAsia="方正仿宋_GBK" w:cs="Times New Roman"/>
          <w:sz w:val="32"/>
          <w:szCs w:val="32"/>
        </w:rPr>
        <w:t>第十五届</w:t>
      </w:r>
      <w:r>
        <w:rPr>
          <w:rFonts w:hint="eastAsia" w:ascii="Times New Roman" w:hAnsi="Times New Roman" w:eastAsia="方正仿宋_GBK" w:cs="Times New Roman"/>
          <w:sz w:val="32"/>
          <w:szCs w:val="32"/>
          <w:lang w:val="en-US" w:eastAsia="zh-CN"/>
        </w:rPr>
        <w:t>36次常务</w:t>
      </w:r>
      <w:r>
        <w:rPr>
          <w:rFonts w:hint="eastAsia" w:ascii="Times New Roman" w:hAnsi="Times New Roman" w:eastAsia="方正仿宋_GBK" w:cs="Times New Roman"/>
          <w:sz w:val="32"/>
          <w:szCs w:val="32"/>
        </w:rPr>
        <w:t>会议审议通过，</w:t>
      </w:r>
      <w:r>
        <w:rPr>
          <w:rFonts w:hint="default" w:ascii="Times New Roman" w:hAnsi="Times New Roman" w:eastAsia="仿宋_GB2312" w:cs="Times New Roman"/>
          <w:color w:val="000000"/>
          <w:kern w:val="0"/>
          <w:sz w:val="32"/>
          <w:szCs w:val="32"/>
          <w:shd w:val="clear" w:color="auto" w:fill="FFFFFF"/>
          <w:lang w:val="en-US" w:eastAsia="zh-CN"/>
        </w:rPr>
        <w:t>现印发给你们，请认真遵照执行。</w:t>
      </w:r>
    </w:p>
    <w:p w14:paraId="345E220F">
      <w:pPr>
        <w:autoSpaceDE w:val="0"/>
        <w:autoSpaceDN w:val="0"/>
        <w:adjustRightInd w:val="0"/>
        <w:snapToGrid w:val="0"/>
        <w:spacing w:line="560" w:lineRule="exact"/>
        <w:ind w:firstLine="640" w:firstLineChars="200"/>
        <w:textAlignment w:val="baseline"/>
        <w:rPr>
          <w:rFonts w:hint="eastAsia" w:ascii="Times New Roman" w:hAnsi="Times New Roman" w:eastAsia="方正仿宋_GBK" w:cs="Times New Roman"/>
          <w:sz w:val="32"/>
          <w:szCs w:val="32"/>
        </w:rPr>
      </w:pPr>
    </w:p>
    <w:p w14:paraId="13E0D651">
      <w:pPr>
        <w:autoSpaceDE w:val="0"/>
        <w:autoSpaceDN w:val="0"/>
        <w:adjustRightInd w:val="0"/>
        <w:snapToGrid w:val="0"/>
        <w:spacing w:line="560" w:lineRule="exact"/>
        <w:ind w:firstLine="640" w:firstLineChars="200"/>
        <w:textAlignment w:val="baseline"/>
        <w:rPr>
          <w:rFonts w:hint="eastAsia" w:ascii="Times New Roman" w:hAnsi="Times New Roman" w:eastAsia="方正仿宋_GBK" w:cs="Times New Roman"/>
          <w:sz w:val="32"/>
          <w:szCs w:val="32"/>
        </w:rPr>
      </w:pPr>
    </w:p>
    <w:p w14:paraId="398C3647">
      <w:pPr>
        <w:keepNext w:val="0"/>
        <w:keepLines w:val="0"/>
        <w:pageBreakBefore w:val="0"/>
        <w:widowControl w:val="0"/>
        <w:tabs>
          <w:tab w:val="left" w:pos="7560"/>
        </w:tabs>
        <w:kinsoku/>
        <w:wordWrap/>
        <w:overflowPunct/>
        <w:topLinePunct w:val="0"/>
        <w:autoSpaceDE w:val="0"/>
        <w:autoSpaceDN w:val="0"/>
        <w:bidi w:val="0"/>
        <w:adjustRightInd w:val="0"/>
        <w:snapToGrid w:val="0"/>
        <w:spacing w:line="560" w:lineRule="exact"/>
        <w:ind w:right="1218" w:rightChars="580" w:firstLine="640" w:firstLineChars="200"/>
        <w:jc w:val="right"/>
        <w:textAlignment w:val="baseline"/>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金湖县人民政府</w:t>
      </w:r>
    </w:p>
    <w:p w14:paraId="5EEA6B1D">
      <w:pPr>
        <w:keepNext w:val="0"/>
        <w:keepLines w:val="0"/>
        <w:pageBreakBefore w:val="0"/>
        <w:widowControl w:val="0"/>
        <w:tabs>
          <w:tab w:val="left" w:pos="7560"/>
        </w:tabs>
        <w:kinsoku/>
        <w:wordWrap/>
        <w:overflowPunct/>
        <w:topLinePunct w:val="0"/>
        <w:autoSpaceDE w:val="0"/>
        <w:autoSpaceDN w:val="0"/>
        <w:bidi w:val="0"/>
        <w:adjustRightInd w:val="0"/>
        <w:snapToGrid w:val="0"/>
        <w:spacing w:line="560" w:lineRule="exact"/>
        <w:ind w:right="1218" w:rightChars="580" w:firstLine="640" w:firstLineChars="200"/>
        <w:jc w:val="center"/>
        <w:textAlignment w:val="baseline"/>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2026年5月</w:t>
      </w:r>
      <w:r>
        <w:rPr>
          <w:rFonts w:hint="eastAsia" w:ascii="Times New Roman" w:hAnsi="Times New Roman" w:eastAsia="方正仿宋_GBK" w:cs="Times New Roman"/>
          <w:sz w:val="32"/>
          <w:szCs w:val="32"/>
          <w:lang w:val="en-US" w:eastAsia="zh-CN"/>
        </w:rPr>
        <w:t>26</w:t>
      </w:r>
      <w:r>
        <w:rPr>
          <w:rFonts w:hint="eastAsia" w:ascii="Times New Roman" w:hAnsi="Times New Roman" w:eastAsia="方正仿宋_GBK" w:cs="Times New Roman"/>
          <w:sz w:val="32"/>
          <w:szCs w:val="32"/>
        </w:rPr>
        <w:t>日</w:t>
      </w:r>
    </w:p>
    <w:p w14:paraId="3B6ABE5A">
      <w:pPr>
        <w:autoSpaceDE w:val="0"/>
        <w:autoSpaceDN w:val="0"/>
        <w:adjustRightInd w:val="0"/>
        <w:snapToGrid w:val="0"/>
        <w:spacing w:line="560" w:lineRule="exact"/>
        <w:ind w:firstLine="640" w:firstLineChars="200"/>
        <w:textAlignment w:val="baseline"/>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此件公开发布</w:t>
      </w:r>
      <w:r>
        <w:rPr>
          <w:rFonts w:hint="eastAsia" w:ascii="Times New Roman" w:hAnsi="Times New Roman" w:eastAsia="方正仿宋_GBK" w:cs="Times New Roman"/>
          <w:sz w:val="32"/>
          <w:szCs w:val="32"/>
          <w:lang w:eastAsia="zh-CN"/>
        </w:rPr>
        <w:t>）</w:t>
      </w:r>
    </w:p>
    <w:p w14:paraId="4F00768B">
      <w:pPr>
        <w:autoSpaceDE w:val="0"/>
        <w:autoSpaceDN w:val="0"/>
        <w:adjustRightInd w:val="0"/>
        <w:snapToGrid w:val="0"/>
        <w:spacing w:line="560" w:lineRule="exact"/>
        <w:ind w:firstLine="640" w:firstLineChars="200"/>
        <w:textAlignment w:val="baseline"/>
        <w:rPr>
          <w:rFonts w:ascii="Times New Roman" w:hAnsi="Times New Roman" w:eastAsia="方正仿宋_GBK" w:cs="Times New Roman"/>
          <w:sz w:val="32"/>
          <w:szCs w:val="32"/>
        </w:rPr>
      </w:pPr>
    </w:p>
    <w:p w14:paraId="04EB62C1">
      <w:pPr>
        <w:spacing w:line="560" w:lineRule="exact"/>
        <w:jc w:val="center"/>
        <w:rPr>
          <w:rFonts w:hint="eastAsia" w:ascii="方正小标宋_GBK" w:hAnsi="方正小标宋_GBK" w:eastAsia="方正小标宋_GBK" w:cs="方正小标宋_GBK"/>
          <w:sz w:val="44"/>
          <w:szCs w:val="44"/>
        </w:rPr>
      </w:pPr>
      <w:bookmarkStart w:id="0" w:name="_GoBack"/>
      <w:bookmarkEnd w:id="0"/>
    </w:p>
    <w:p w14:paraId="7364EA6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金湖县城市基础</w:t>
      </w:r>
      <w:r>
        <w:rPr>
          <w:rFonts w:hint="eastAsia" w:ascii="方正小标宋_GBK" w:hAnsi="方正小标宋_GBK" w:eastAsia="方正小标宋_GBK" w:cs="方正小标宋_GBK"/>
          <w:color w:val="000000"/>
          <w:kern w:val="0"/>
          <w:sz w:val="44"/>
          <w:szCs w:val="44"/>
          <w:shd w:val="clear" w:color="auto" w:fill="FFFFFF"/>
        </w:rPr>
        <w:t>设施</w:t>
      </w:r>
      <w:r>
        <w:rPr>
          <w:rFonts w:hint="eastAsia" w:ascii="方正小标宋_GBK" w:hAnsi="方正小标宋_GBK" w:eastAsia="方正小标宋_GBK" w:cs="方正小标宋_GBK"/>
          <w:sz w:val="44"/>
          <w:szCs w:val="44"/>
        </w:rPr>
        <w:t>配套费征收管理办法</w:t>
      </w:r>
    </w:p>
    <w:p w14:paraId="4B3E6643">
      <w:pPr>
        <w:pStyle w:val="2"/>
        <w:autoSpaceDE w:val="0"/>
        <w:autoSpaceDN w:val="0"/>
        <w:adjustRightInd w:val="0"/>
        <w:snapToGrid w:val="0"/>
        <w:spacing w:line="560" w:lineRule="exact"/>
        <w:textAlignment w:val="baseline"/>
        <w:rPr>
          <w:rFonts w:ascii="Times New Roman" w:hAnsi="Times New Roman" w:eastAsia="方正仿宋_GBK"/>
          <w:sz w:val="32"/>
          <w:szCs w:val="32"/>
        </w:rPr>
      </w:pPr>
    </w:p>
    <w:p w14:paraId="7EA056D9">
      <w:pPr>
        <w:keepNext w:val="0"/>
        <w:keepLines w:val="0"/>
        <w:pageBreakBefore w:val="0"/>
        <w:kinsoku/>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方正仿宋_GBK"/>
          <w:sz w:val="32"/>
          <w:szCs w:val="32"/>
        </w:rPr>
      </w:pPr>
      <w:r>
        <w:rPr>
          <w:rFonts w:ascii="Times New Roman" w:hAnsi="Times New Roman" w:eastAsia="方正仿宋_GBK"/>
          <w:b/>
          <w:bCs/>
          <w:sz w:val="32"/>
          <w:szCs w:val="32"/>
        </w:rPr>
        <w:t>第一条</w:t>
      </w:r>
      <w:r>
        <w:rPr>
          <w:rFonts w:ascii="Times New Roman" w:hAnsi="Times New Roman" w:eastAsia="方正仿宋_GBK"/>
          <w:sz w:val="32"/>
          <w:szCs w:val="32"/>
        </w:rPr>
        <w:t xml:space="preserve">  为规范县域城市基础设施配套费征收</w:t>
      </w:r>
      <w:r>
        <w:rPr>
          <w:rFonts w:hint="eastAsia" w:ascii="Times New Roman" w:hAnsi="Times New Roman" w:eastAsia="方正仿宋_GBK"/>
          <w:sz w:val="32"/>
          <w:szCs w:val="32"/>
        </w:rPr>
        <w:t>行为</w:t>
      </w:r>
      <w:r>
        <w:rPr>
          <w:rFonts w:ascii="Times New Roman" w:hAnsi="Times New Roman" w:eastAsia="方正仿宋_GBK"/>
          <w:sz w:val="32"/>
          <w:szCs w:val="32"/>
        </w:rPr>
        <w:t>，</w:t>
      </w:r>
      <w:r>
        <w:rPr>
          <w:rFonts w:hint="eastAsia" w:ascii="Times New Roman" w:hAnsi="Times New Roman" w:eastAsia="方正仿宋_GBK"/>
          <w:sz w:val="32"/>
          <w:szCs w:val="32"/>
        </w:rPr>
        <w:t>提升科学化、精细化管理水平</w:t>
      </w:r>
      <w:r>
        <w:rPr>
          <w:rFonts w:ascii="Times New Roman" w:hAnsi="Times New Roman" w:eastAsia="方正仿宋_GBK"/>
          <w:sz w:val="32"/>
          <w:szCs w:val="32"/>
        </w:rPr>
        <w:t>，</w:t>
      </w:r>
      <w:r>
        <w:rPr>
          <w:rFonts w:hint="eastAsia" w:ascii="Times New Roman" w:hAnsi="Times New Roman" w:eastAsia="方正仿宋_GBK"/>
          <w:sz w:val="32"/>
          <w:szCs w:val="32"/>
        </w:rPr>
        <w:t>根</w:t>
      </w:r>
      <w:r>
        <w:rPr>
          <w:rFonts w:ascii="Times New Roman" w:hAnsi="Times New Roman" w:eastAsia="方正仿宋_GBK"/>
          <w:sz w:val="32"/>
          <w:szCs w:val="32"/>
        </w:rPr>
        <w:t>据《中华人民共和国预算法》《江苏省非税收入管理条例》《政府性基金管理暂行办</w:t>
      </w:r>
      <w:r>
        <w:rPr>
          <w:rFonts w:hint="eastAsia" w:ascii="Times New Roman" w:hAnsi="Times New Roman" w:eastAsia="方正仿宋_GBK"/>
          <w:sz w:val="32"/>
          <w:szCs w:val="32"/>
        </w:rPr>
        <w:t>法</w:t>
      </w:r>
      <w:r>
        <w:rPr>
          <w:rFonts w:ascii="Times New Roman" w:hAnsi="Times New Roman" w:eastAsia="方正仿宋_GBK"/>
          <w:sz w:val="32"/>
          <w:szCs w:val="32"/>
        </w:rPr>
        <w:t>》</w:t>
      </w:r>
      <w:r>
        <w:rPr>
          <w:rFonts w:hint="eastAsia" w:ascii="Times New Roman" w:hAnsi="Times New Roman" w:eastAsia="方正仿宋_GBK"/>
          <w:sz w:val="32"/>
          <w:szCs w:val="32"/>
        </w:rPr>
        <w:t>《淮安市本级城市基础设施配套费征收管理办法》等规定</w:t>
      </w:r>
      <w:r>
        <w:rPr>
          <w:rFonts w:ascii="Times New Roman" w:hAnsi="Times New Roman" w:eastAsia="方正仿宋_GBK"/>
          <w:sz w:val="32"/>
          <w:szCs w:val="32"/>
        </w:rPr>
        <w:t>，结合</w:t>
      </w:r>
      <w:r>
        <w:rPr>
          <w:rFonts w:hint="eastAsia" w:ascii="Times New Roman" w:hAnsi="Times New Roman" w:eastAsia="方正仿宋_GBK"/>
          <w:sz w:val="32"/>
          <w:szCs w:val="32"/>
        </w:rPr>
        <w:t>本</w:t>
      </w:r>
      <w:r>
        <w:rPr>
          <w:rFonts w:ascii="Times New Roman" w:hAnsi="Times New Roman" w:eastAsia="方正仿宋_GBK"/>
          <w:sz w:val="32"/>
          <w:szCs w:val="32"/>
        </w:rPr>
        <w:t>县城市发展实际与县域建设管理特点，制定本办法。</w:t>
      </w:r>
    </w:p>
    <w:p w14:paraId="690DF983">
      <w:pPr>
        <w:keepNext w:val="0"/>
        <w:keepLines w:val="0"/>
        <w:pageBreakBefore w:val="0"/>
        <w:kinsoku/>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方正仿宋_GBK"/>
          <w:sz w:val="32"/>
          <w:szCs w:val="32"/>
        </w:rPr>
      </w:pPr>
      <w:r>
        <w:rPr>
          <w:rFonts w:ascii="Times New Roman" w:hAnsi="Times New Roman" w:eastAsia="方正仿宋_GBK"/>
          <w:b/>
          <w:bCs/>
          <w:sz w:val="32"/>
          <w:szCs w:val="32"/>
        </w:rPr>
        <w:t>第二条</w:t>
      </w:r>
      <w:r>
        <w:rPr>
          <w:rFonts w:ascii="Times New Roman" w:hAnsi="Times New Roman" w:eastAsia="方正仿宋_GBK"/>
          <w:sz w:val="32"/>
          <w:szCs w:val="32"/>
        </w:rPr>
        <w:t xml:space="preserve"> 本办法适用于</w:t>
      </w:r>
      <w:r>
        <w:rPr>
          <w:rFonts w:hint="eastAsia" w:ascii="Times New Roman" w:hAnsi="Times New Roman" w:eastAsia="方正仿宋_GBK"/>
          <w:sz w:val="32"/>
          <w:szCs w:val="32"/>
        </w:rPr>
        <w:t>本</w:t>
      </w:r>
      <w:r>
        <w:rPr>
          <w:rFonts w:ascii="Times New Roman" w:hAnsi="Times New Roman" w:eastAsia="方正仿宋_GBK"/>
          <w:sz w:val="32"/>
          <w:szCs w:val="32"/>
        </w:rPr>
        <w:t>县行政区域内国有土地上开展新建、改建、扩建的各类建设项目，上述项目建设主体均应按本办法规定缴纳配套费（以下简称配套费）</w:t>
      </w:r>
      <w:r>
        <w:rPr>
          <w:rFonts w:hint="eastAsia" w:ascii="Times New Roman" w:hAnsi="Times New Roman" w:eastAsia="方正仿宋_GBK"/>
          <w:sz w:val="32"/>
          <w:szCs w:val="32"/>
        </w:rPr>
        <w:t>。</w:t>
      </w:r>
    </w:p>
    <w:p w14:paraId="1E161B59">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z w:val="32"/>
          <w:szCs w:val="32"/>
        </w:rPr>
      </w:pPr>
      <w:r>
        <w:rPr>
          <w:rFonts w:ascii="Times New Roman" w:hAnsi="Times New Roman" w:eastAsia="方正仿宋_GBK"/>
          <w:sz w:val="32"/>
          <w:szCs w:val="32"/>
        </w:rPr>
        <w:t>项目建设</w:t>
      </w:r>
      <w:r>
        <w:rPr>
          <w:rFonts w:hint="eastAsia" w:ascii="Times New Roman" w:hAnsi="Times New Roman" w:eastAsia="方正仿宋_GBK"/>
          <w:sz w:val="32"/>
          <w:szCs w:val="32"/>
        </w:rPr>
        <w:t>的</w:t>
      </w:r>
      <w:r>
        <w:rPr>
          <w:rFonts w:ascii="Times New Roman" w:hAnsi="Times New Roman" w:eastAsia="方正仿宋_GBK"/>
          <w:sz w:val="32"/>
          <w:szCs w:val="32"/>
        </w:rPr>
        <w:t>单位或者个人是城市基础设施配套费的缴费义务人。由多个建设主体共同实施的建设项目，所有建设主体</w:t>
      </w:r>
      <w:r>
        <w:rPr>
          <w:rFonts w:hint="eastAsia" w:ascii="Times New Roman" w:hAnsi="Times New Roman" w:eastAsia="方正仿宋_GBK"/>
          <w:sz w:val="32"/>
          <w:szCs w:val="32"/>
        </w:rPr>
        <w:t>在本办法规定的缴费范围内</w:t>
      </w:r>
      <w:r>
        <w:rPr>
          <w:rFonts w:ascii="Times New Roman" w:hAnsi="Times New Roman" w:eastAsia="方正仿宋_GBK"/>
          <w:sz w:val="32"/>
          <w:szCs w:val="32"/>
        </w:rPr>
        <w:t>均为配套费的</w:t>
      </w:r>
      <w:r>
        <w:rPr>
          <w:rFonts w:hint="eastAsia" w:ascii="Times New Roman" w:hAnsi="Times New Roman" w:eastAsia="方正仿宋_GBK"/>
          <w:sz w:val="32"/>
          <w:szCs w:val="32"/>
        </w:rPr>
        <w:t>共同</w:t>
      </w:r>
      <w:r>
        <w:rPr>
          <w:rFonts w:ascii="Times New Roman" w:hAnsi="Times New Roman" w:eastAsia="方正仿宋_GBK"/>
          <w:sz w:val="32"/>
          <w:szCs w:val="32"/>
        </w:rPr>
        <w:t>缴费义务人</w:t>
      </w:r>
      <w:r>
        <w:rPr>
          <w:rFonts w:hint="eastAsia" w:ascii="Times New Roman" w:hAnsi="Times New Roman" w:eastAsia="方正仿宋_GBK"/>
          <w:sz w:val="32"/>
          <w:szCs w:val="32"/>
        </w:rPr>
        <w:t>。</w:t>
      </w:r>
    </w:p>
    <w:p w14:paraId="419D7C59">
      <w:pPr>
        <w:keepNext w:val="0"/>
        <w:keepLines w:val="0"/>
        <w:pageBreakBefore w:val="0"/>
        <w:kinsoku/>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方正仿宋_GBK"/>
          <w:sz w:val="32"/>
          <w:szCs w:val="32"/>
        </w:rPr>
      </w:pPr>
      <w:r>
        <w:rPr>
          <w:rFonts w:ascii="Times New Roman" w:hAnsi="Times New Roman" w:eastAsia="方正仿宋_GBK"/>
          <w:b/>
          <w:bCs/>
          <w:sz w:val="32"/>
          <w:szCs w:val="32"/>
        </w:rPr>
        <w:t>第三条</w:t>
      </w:r>
      <w:r>
        <w:rPr>
          <w:rFonts w:ascii="Times New Roman" w:hAnsi="Times New Roman" w:eastAsia="方正仿宋_GBK"/>
          <w:sz w:val="32"/>
          <w:szCs w:val="32"/>
        </w:rPr>
        <w:t xml:space="preserve"> 县住房和城乡建设局（以下简称</w:t>
      </w:r>
      <w:r>
        <w:rPr>
          <w:rFonts w:hint="eastAsia" w:ascii="Times New Roman" w:hAnsi="Times New Roman" w:eastAsia="方正仿宋_GBK"/>
          <w:sz w:val="32"/>
          <w:szCs w:val="32"/>
        </w:rPr>
        <w:t>县住建局</w:t>
      </w:r>
      <w:r>
        <w:rPr>
          <w:rFonts w:ascii="Times New Roman" w:hAnsi="Times New Roman" w:eastAsia="方正仿宋_GBK"/>
          <w:sz w:val="32"/>
          <w:szCs w:val="32"/>
        </w:rPr>
        <w:t>）负责配套费的征收管理工作。</w:t>
      </w:r>
    </w:p>
    <w:p w14:paraId="19FF8B39">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z w:val="32"/>
          <w:szCs w:val="32"/>
        </w:rPr>
      </w:pPr>
      <w:r>
        <w:rPr>
          <w:rFonts w:ascii="Times New Roman" w:hAnsi="Times New Roman" w:eastAsia="方正仿宋_GBK"/>
          <w:sz w:val="32"/>
          <w:szCs w:val="32"/>
        </w:rPr>
        <w:t>县住建局应当建立健全配套费征收相关工作制度，在收费场所公开配套费的征收依据、范围、对象、标准和征缴流程等内容</w:t>
      </w:r>
      <w:r>
        <w:rPr>
          <w:rFonts w:hint="eastAsia" w:ascii="Times New Roman" w:hAnsi="Times New Roman" w:eastAsia="方正仿宋_GBK"/>
          <w:sz w:val="32"/>
          <w:szCs w:val="32"/>
        </w:rPr>
        <w:t>；与</w:t>
      </w:r>
      <w:r>
        <w:rPr>
          <w:rFonts w:ascii="Times New Roman" w:hAnsi="Times New Roman" w:eastAsia="方正仿宋_GBK"/>
          <w:sz w:val="32"/>
          <w:szCs w:val="32"/>
        </w:rPr>
        <w:t>县</w:t>
      </w:r>
      <w:r>
        <w:rPr>
          <w:rFonts w:hint="eastAsia" w:ascii="Times New Roman" w:hAnsi="Times New Roman" w:eastAsia="方正仿宋_GBK"/>
          <w:sz w:val="32"/>
          <w:szCs w:val="32"/>
        </w:rPr>
        <w:t>资规、数据</w:t>
      </w:r>
      <w:r>
        <w:rPr>
          <w:rFonts w:ascii="Times New Roman" w:hAnsi="Times New Roman" w:eastAsia="方正仿宋_GBK"/>
          <w:sz w:val="32"/>
          <w:szCs w:val="32"/>
        </w:rPr>
        <w:t>等部门共享配套费征收涉及的规划许可、施工许可、竣工备案等信息以及免征、减征相关证明材料，确保配套费足额征收</w:t>
      </w:r>
      <w:r>
        <w:rPr>
          <w:rFonts w:hint="eastAsia" w:ascii="Times New Roman" w:hAnsi="Times New Roman" w:eastAsia="方正仿宋_GBK"/>
          <w:sz w:val="32"/>
          <w:szCs w:val="32"/>
        </w:rPr>
        <w:t>。</w:t>
      </w:r>
    </w:p>
    <w:p w14:paraId="2D7FE8BF">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z w:val="32"/>
          <w:szCs w:val="32"/>
        </w:rPr>
      </w:pPr>
      <w:r>
        <w:rPr>
          <w:rFonts w:ascii="Times New Roman" w:hAnsi="Times New Roman" w:eastAsia="方正仿宋_GBK"/>
          <w:sz w:val="32"/>
          <w:szCs w:val="32"/>
        </w:rPr>
        <w:t>县财政、资规、数据、教育</w:t>
      </w:r>
      <w:r>
        <w:rPr>
          <w:rFonts w:hint="eastAsia" w:ascii="Times New Roman" w:hAnsi="Times New Roman" w:eastAsia="方正仿宋_GBK"/>
          <w:sz w:val="32"/>
          <w:szCs w:val="32"/>
        </w:rPr>
        <w:t>体育</w:t>
      </w:r>
      <w:r>
        <w:rPr>
          <w:rFonts w:ascii="Times New Roman" w:hAnsi="Times New Roman" w:eastAsia="方正仿宋_GBK"/>
          <w:sz w:val="32"/>
          <w:szCs w:val="32"/>
        </w:rPr>
        <w:t>、民政、卫生健康、商务等部门，按照各自职责协助做好配套费征收相关工作。</w:t>
      </w:r>
    </w:p>
    <w:p w14:paraId="44A4013D">
      <w:pPr>
        <w:keepNext w:val="0"/>
        <w:keepLines w:val="0"/>
        <w:pageBreakBefore w:val="0"/>
        <w:kinsoku/>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方正仿宋_GBK"/>
          <w:sz w:val="32"/>
          <w:szCs w:val="32"/>
        </w:rPr>
      </w:pPr>
      <w:r>
        <w:rPr>
          <w:rFonts w:ascii="Times New Roman" w:hAnsi="Times New Roman" w:eastAsia="方正仿宋_GBK"/>
          <w:b/>
          <w:bCs/>
          <w:sz w:val="32"/>
          <w:szCs w:val="32"/>
        </w:rPr>
        <w:t>第四条</w:t>
      </w:r>
      <w:r>
        <w:rPr>
          <w:rFonts w:hint="eastAsia" w:ascii="Times New Roman" w:hAnsi="Times New Roman" w:eastAsia="方正仿宋_GBK"/>
          <w:sz w:val="32"/>
          <w:szCs w:val="32"/>
        </w:rPr>
        <w:t xml:space="preserve"> </w:t>
      </w:r>
      <w:r>
        <w:rPr>
          <w:rFonts w:ascii="Times New Roman" w:hAnsi="Times New Roman" w:eastAsia="方正仿宋_GBK"/>
          <w:sz w:val="32"/>
          <w:szCs w:val="32"/>
        </w:rPr>
        <w:t>配套费按照建设工程规划许可证证载建筑面积计征，征收标准为</w:t>
      </w:r>
      <w:r>
        <w:rPr>
          <w:rFonts w:hint="eastAsia" w:ascii="Times New Roman" w:hAnsi="Times New Roman" w:eastAsia="方正仿宋_GBK"/>
          <w:sz w:val="32"/>
          <w:szCs w:val="32"/>
        </w:rPr>
        <w:t>县城</w:t>
      </w:r>
      <w:r>
        <w:rPr>
          <w:rFonts w:ascii="Times New Roman" w:hAnsi="Times New Roman" w:eastAsia="方正仿宋_GBK"/>
          <w:sz w:val="32"/>
          <w:szCs w:val="32"/>
        </w:rPr>
        <w:t>75元/平方米，</w:t>
      </w:r>
      <w:r>
        <w:rPr>
          <w:rFonts w:hint="eastAsia" w:ascii="Times New Roman" w:hAnsi="Times New Roman" w:eastAsia="方正仿宋_GBK"/>
          <w:sz w:val="32"/>
          <w:szCs w:val="32"/>
        </w:rPr>
        <w:t>建制镇规划区</w:t>
      </w:r>
      <w:r>
        <w:rPr>
          <w:rFonts w:ascii="Times New Roman" w:hAnsi="Times New Roman" w:eastAsia="方正仿宋_GBK"/>
          <w:sz w:val="32"/>
          <w:szCs w:val="32"/>
        </w:rPr>
        <w:t>20元/平方米</w:t>
      </w:r>
      <w:r>
        <w:rPr>
          <w:rFonts w:hint="eastAsia" w:ascii="Times New Roman" w:hAnsi="Times New Roman" w:eastAsia="方正仿宋_GBK"/>
          <w:sz w:val="32"/>
          <w:szCs w:val="32"/>
        </w:rPr>
        <w:t>。国家、省调整征收标准的，从其规定</w:t>
      </w:r>
      <w:r>
        <w:rPr>
          <w:rFonts w:ascii="Times New Roman" w:hAnsi="Times New Roman" w:eastAsia="方正仿宋_GBK"/>
          <w:sz w:val="32"/>
          <w:szCs w:val="32"/>
        </w:rPr>
        <w:t>。</w:t>
      </w:r>
    </w:p>
    <w:p w14:paraId="72C1391C">
      <w:pPr>
        <w:keepNext w:val="0"/>
        <w:keepLines w:val="0"/>
        <w:pageBreakBefore w:val="0"/>
        <w:kinsoku/>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方正仿宋_GBK"/>
          <w:sz w:val="32"/>
          <w:szCs w:val="32"/>
          <w:highlight w:val="yellow"/>
        </w:rPr>
      </w:pPr>
      <w:r>
        <w:rPr>
          <w:rFonts w:ascii="Times New Roman" w:hAnsi="Times New Roman" w:eastAsia="方正仿宋_GBK"/>
          <w:b/>
          <w:bCs/>
          <w:sz w:val="32"/>
          <w:szCs w:val="32"/>
        </w:rPr>
        <w:t>第</w:t>
      </w:r>
      <w:r>
        <w:rPr>
          <w:rFonts w:hint="eastAsia" w:ascii="Times New Roman" w:hAnsi="Times New Roman" w:eastAsia="方正仿宋_GBK"/>
          <w:b/>
          <w:bCs/>
          <w:sz w:val="32"/>
          <w:szCs w:val="32"/>
        </w:rPr>
        <w:t>五</w:t>
      </w:r>
      <w:r>
        <w:rPr>
          <w:rFonts w:ascii="Times New Roman" w:hAnsi="Times New Roman" w:eastAsia="方正仿宋_GBK"/>
          <w:b/>
          <w:bCs/>
          <w:sz w:val="32"/>
          <w:szCs w:val="32"/>
        </w:rPr>
        <w:t>条</w:t>
      </w:r>
      <w:r>
        <w:rPr>
          <w:rFonts w:ascii="Times New Roman" w:hAnsi="Times New Roman" w:eastAsia="方正仿宋_GBK"/>
          <w:sz w:val="32"/>
          <w:szCs w:val="32"/>
        </w:rPr>
        <w:t xml:space="preserve"> 免征配套费建设项目</w:t>
      </w:r>
      <w:r>
        <w:rPr>
          <w:rFonts w:hint="eastAsia" w:ascii="Times New Roman" w:hAnsi="Times New Roman" w:eastAsia="方正仿宋_GBK"/>
          <w:sz w:val="32"/>
          <w:szCs w:val="32"/>
        </w:rPr>
        <w:t>除《淮安市本级城市基础设施配套费征收管理办法》（淮政规〔2025〕7号）第六条规定外，还包括农民在建制镇规划区范围内建住房。</w:t>
      </w:r>
    </w:p>
    <w:p w14:paraId="3266C0A4">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z w:val="32"/>
          <w:szCs w:val="32"/>
        </w:rPr>
      </w:pPr>
      <w:r>
        <w:rPr>
          <w:rFonts w:ascii="Times New Roman" w:hAnsi="Times New Roman" w:eastAsia="方正仿宋_GBK"/>
          <w:sz w:val="32"/>
          <w:szCs w:val="32"/>
        </w:rPr>
        <w:t>国家</w:t>
      </w:r>
      <w:r>
        <w:rPr>
          <w:rFonts w:hint="eastAsia" w:ascii="Times New Roman" w:hAnsi="Times New Roman" w:eastAsia="方正仿宋_GBK"/>
          <w:sz w:val="32"/>
          <w:szCs w:val="32"/>
        </w:rPr>
        <w:t>、</w:t>
      </w:r>
      <w:r>
        <w:rPr>
          <w:rFonts w:ascii="Times New Roman" w:hAnsi="Times New Roman" w:eastAsia="方正仿宋_GBK"/>
          <w:sz w:val="32"/>
          <w:szCs w:val="32"/>
        </w:rPr>
        <w:t>省</w:t>
      </w:r>
      <w:r>
        <w:rPr>
          <w:rFonts w:hint="eastAsia" w:ascii="Times New Roman" w:hAnsi="Times New Roman" w:eastAsia="方正仿宋_GBK"/>
          <w:sz w:val="32"/>
          <w:szCs w:val="32"/>
        </w:rPr>
        <w:t>和市</w:t>
      </w:r>
      <w:r>
        <w:rPr>
          <w:rFonts w:ascii="Times New Roman" w:hAnsi="Times New Roman" w:eastAsia="方正仿宋_GBK"/>
          <w:sz w:val="32"/>
          <w:szCs w:val="32"/>
        </w:rPr>
        <w:t>另有免征、减征配套费规定的，从其规定。</w:t>
      </w:r>
    </w:p>
    <w:p w14:paraId="2C6BFC9C">
      <w:pPr>
        <w:keepNext w:val="0"/>
        <w:keepLines w:val="0"/>
        <w:pageBreakBefore w:val="0"/>
        <w:kinsoku/>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方正仿宋_GBK"/>
          <w:sz w:val="32"/>
          <w:szCs w:val="32"/>
        </w:rPr>
      </w:pPr>
      <w:r>
        <w:rPr>
          <w:rFonts w:ascii="Times New Roman" w:hAnsi="Times New Roman" w:eastAsia="方正仿宋_GBK"/>
          <w:b/>
          <w:bCs/>
          <w:sz w:val="32"/>
          <w:szCs w:val="32"/>
        </w:rPr>
        <w:t>第</w:t>
      </w:r>
      <w:r>
        <w:rPr>
          <w:rFonts w:hint="eastAsia" w:ascii="Times New Roman" w:hAnsi="Times New Roman" w:eastAsia="方正仿宋_GBK"/>
          <w:b/>
          <w:bCs/>
          <w:sz w:val="32"/>
          <w:szCs w:val="32"/>
        </w:rPr>
        <w:t>六</w:t>
      </w:r>
      <w:r>
        <w:rPr>
          <w:rFonts w:ascii="Times New Roman" w:hAnsi="Times New Roman" w:eastAsia="方正仿宋_GBK"/>
          <w:b/>
          <w:bCs/>
          <w:sz w:val="32"/>
          <w:szCs w:val="32"/>
        </w:rPr>
        <w:t>条</w:t>
      </w:r>
      <w:r>
        <w:rPr>
          <w:rFonts w:hint="eastAsia" w:ascii="Times New Roman" w:hAnsi="Times New Roman" w:eastAsia="方正仿宋_GBK"/>
          <w:b/>
          <w:bCs/>
          <w:sz w:val="32"/>
          <w:szCs w:val="32"/>
        </w:rPr>
        <w:t xml:space="preserve"> </w:t>
      </w:r>
      <w:r>
        <w:rPr>
          <w:rFonts w:ascii="Times New Roman" w:hAnsi="Times New Roman" w:eastAsia="方正仿宋_GBK"/>
          <w:sz w:val="32"/>
          <w:szCs w:val="32"/>
        </w:rPr>
        <w:t>符合免征、减征情形的，缴费义务人应当向县住建局提交免征、减征书面申请以及相关材料，并对所提供材料的真实性负责。免征、减征相关材料可以通过部门间信息共享取得的，免予提供。对于符合免征、减征情形的</w:t>
      </w:r>
      <w:r>
        <w:rPr>
          <w:rFonts w:hint="eastAsia" w:ascii="Times New Roman" w:hAnsi="Times New Roman" w:eastAsia="方正仿宋_GBK"/>
          <w:sz w:val="32"/>
          <w:szCs w:val="32"/>
        </w:rPr>
        <w:t>，</w:t>
      </w:r>
      <w:r>
        <w:rPr>
          <w:rFonts w:ascii="Times New Roman" w:hAnsi="Times New Roman" w:eastAsia="方正仿宋_GBK"/>
          <w:sz w:val="32"/>
          <w:szCs w:val="32"/>
        </w:rPr>
        <w:t>县住建局应当在10个工作日内完成审批，并向缴费义务人出具已办理免征、减征手续的证明凭证</w:t>
      </w:r>
      <w:r>
        <w:rPr>
          <w:rFonts w:hint="eastAsia" w:ascii="Times New Roman" w:hAnsi="Times New Roman" w:eastAsia="方正仿宋_GBK"/>
          <w:sz w:val="32"/>
          <w:szCs w:val="32"/>
        </w:rPr>
        <w:t>；不符合免征或者减征条件的，应当在3个工作日内书面通知缴纳义务人，并说明理由。</w:t>
      </w:r>
    </w:p>
    <w:p w14:paraId="49058A40">
      <w:pPr>
        <w:keepNext w:val="0"/>
        <w:keepLines w:val="0"/>
        <w:pageBreakBefore w:val="0"/>
        <w:kinsoku/>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方正仿宋_GBK"/>
          <w:sz w:val="32"/>
          <w:szCs w:val="32"/>
        </w:rPr>
      </w:pPr>
      <w:r>
        <w:rPr>
          <w:rFonts w:ascii="Times New Roman" w:hAnsi="Times New Roman" w:eastAsia="方正仿宋_GBK"/>
          <w:b/>
          <w:bCs/>
          <w:sz w:val="32"/>
          <w:szCs w:val="32"/>
        </w:rPr>
        <w:t>第</w:t>
      </w:r>
      <w:r>
        <w:rPr>
          <w:rFonts w:hint="eastAsia" w:ascii="Times New Roman" w:hAnsi="Times New Roman" w:eastAsia="方正仿宋_GBK"/>
          <w:b/>
          <w:bCs/>
          <w:sz w:val="32"/>
          <w:szCs w:val="32"/>
        </w:rPr>
        <w:t>七</w:t>
      </w:r>
      <w:r>
        <w:rPr>
          <w:rFonts w:ascii="Times New Roman" w:hAnsi="Times New Roman" w:eastAsia="方正仿宋_GBK"/>
          <w:b/>
          <w:bCs/>
          <w:sz w:val="32"/>
          <w:szCs w:val="32"/>
        </w:rPr>
        <w:t>条</w:t>
      </w:r>
      <w:r>
        <w:rPr>
          <w:rFonts w:hint="eastAsia" w:ascii="Times New Roman" w:hAnsi="Times New Roman" w:eastAsia="方正仿宋_GBK"/>
          <w:b/>
          <w:bCs/>
          <w:sz w:val="32"/>
          <w:szCs w:val="32"/>
        </w:rPr>
        <w:t xml:space="preserve"> </w:t>
      </w:r>
      <w:r>
        <w:rPr>
          <w:rFonts w:ascii="Times New Roman" w:hAnsi="Times New Roman" w:eastAsia="方正仿宋_GBK"/>
          <w:sz w:val="32"/>
          <w:szCs w:val="32"/>
        </w:rPr>
        <w:t>建设工程规划许可审批部门在发放建设工程规划许可证时，同步向缴费义务人出具《金湖县城市基础设施配套费缴费告知书》，并同步将</w:t>
      </w:r>
      <w:r>
        <w:rPr>
          <w:rFonts w:hint="eastAsia" w:ascii="Times New Roman" w:hAnsi="Times New Roman" w:eastAsia="方正仿宋_GBK"/>
          <w:sz w:val="32"/>
          <w:szCs w:val="32"/>
        </w:rPr>
        <w:t>相关</w:t>
      </w:r>
      <w:r>
        <w:rPr>
          <w:rFonts w:ascii="Times New Roman" w:hAnsi="Times New Roman" w:eastAsia="方正仿宋_GBK"/>
          <w:sz w:val="32"/>
          <w:szCs w:val="32"/>
        </w:rPr>
        <w:t>信息推送至县住建局。</w:t>
      </w:r>
    </w:p>
    <w:p w14:paraId="6ABA9739">
      <w:pPr>
        <w:keepNext w:val="0"/>
        <w:keepLines w:val="0"/>
        <w:pageBreakBefore w:val="0"/>
        <w:kinsoku/>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方正仿宋_GBK"/>
          <w:sz w:val="32"/>
          <w:szCs w:val="32"/>
        </w:rPr>
      </w:pPr>
      <w:r>
        <w:rPr>
          <w:rFonts w:ascii="Times New Roman" w:hAnsi="Times New Roman" w:eastAsia="方正仿宋_GBK"/>
          <w:b/>
          <w:bCs/>
          <w:sz w:val="32"/>
          <w:szCs w:val="32"/>
        </w:rPr>
        <w:t>第</w:t>
      </w:r>
      <w:r>
        <w:rPr>
          <w:rFonts w:hint="eastAsia" w:ascii="Times New Roman" w:hAnsi="Times New Roman" w:eastAsia="方正仿宋_GBK"/>
          <w:b/>
          <w:bCs/>
          <w:sz w:val="32"/>
          <w:szCs w:val="32"/>
        </w:rPr>
        <w:t>八</w:t>
      </w:r>
      <w:r>
        <w:rPr>
          <w:rFonts w:ascii="Times New Roman" w:hAnsi="Times New Roman" w:eastAsia="方正仿宋_GBK"/>
          <w:b/>
          <w:bCs/>
          <w:sz w:val="32"/>
          <w:szCs w:val="32"/>
        </w:rPr>
        <w:t>条</w:t>
      </w:r>
      <w:r>
        <w:rPr>
          <w:rFonts w:hint="eastAsia" w:ascii="Times New Roman" w:hAnsi="Times New Roman" w:eastAsia="方正仿宋_GBK"/>
          <w:b/>
          <w:bCs/>
          <w:sz w:val="32"/>
          <w:szCs w:val="32"/>
        </w:rPr>
        <w:t xml:space="preserve"> </w:t>
      </w:r>
      <w:r>
        <w:rPr>
          <w:rFonts w:ascii="Times New Roman" w:hAnsi="Times New Roman" w:eastAsia="方正仿宋_GBK"/>
          <w:sz w:val="32"/>
          <w:szCs w:val="32"/>
        </w:rPr>
        <w:t>缴费义务人应当在办理建筑工程施工许可证前，按照建设工程规划许可证证载建筑面积向县住建局足额缴纳配套费。县住建局应当核验缴</w:t>
      </w:r>
      <w:r>
        <w:rPr>
          <w:rFonts w:hint="eastAsia" w:ascii="Times New Roman" w:hAnsi="Times New Roman" w:eastAsia="方正仿宋_GBK"/>
          <w:sz w:val="32"/>
          <w:szCs w:val="32"/>
        </w:rPr>
        <w:t>费</w:t>
      </w:r>
      <w:r>
        <w:rPr>
          <w:rFonts w:ascii="Times New Roman" w:hAnsi="Times New Roman" w:eastAsia="方正仿宋_GBK"/>
          <w:sz w:val="32"/>
          <w:szCs w:val="32"/>
        </w:rPr>
        <w:t>义务人提交的申报材料。材料齐备的，应当在</w:t>
      </w:r>
      <w:r>
        <w:rPr>
          <w:rFonts w:hint="eastAsia" w:ascii="Times New Roman" w:hAnsi="Times New Roman" w:eastAsia="方正仿宋_GBK"/>
          <w:sz w:val="32"/>
          <w:szCs w:val="32"/>
        </w:rPr>
        <w:t>5</w:t>
      </w:r>
      <w:r>
        <w:rPr>
          <w:rFonts w:ascii="Times New Roman" w:hAnsi="Times New Roman" w:eastAsia="方正仿宋_GBK"/>
          <w:sz w:val="32"/>
          <w:szCs w:val="32"/>
        </w:rPr>
        <w:t>个工作日内完成应缴配套费的核算和审批，并书面通知缴纳义务人</w:t>
      </w:r>
      <w:r>
        <w:rPr>
          <w:rFonts w:hint="eastAsia" w:ascii="Times New Roman" w:hAnsi="Times New Roman" w:eastAsia="方正仿宋_GBK"/>
          <w:sz w:val="32"/>
          <w:szCs w:val="32"/>
        </w:rPr>
        <w:t>缴</w:t>
      </w:r>
      <w:r>
        <w:rPr>
          <w:rFonts w:ascii="Times New Roman" w:hAnsi="Times New Roman" w:eastAsia="方正仿宋_GBK"/>
          <w:sz w:val="32"/>
          <w:szCs w:val="32"/>
        </w:rPr>
        <w:t>费</w:t>
      </w:r>
      <w:r>
        <w:rPr>
          <w:rFonts w:hint="eastAsia" w:ascii="Times New Roman" w:hAnsi="Times New Roman" w:eastAsia="方正仿宋_GBK"/>
          <w:sz w:val="32"/>
          <w:szCs w:val="32"/>
        </w:rPr>
        <w:t>；</w:t>
      </w:r>
      <w:r>
        <w:rPr>
          <w:rFonts w:ascii="Times New Roman" w:hAnsi="Times New Roman" w:eastAsia="方正仿宋_GBK"/>
          <w:sz w:val="32"/>
          <w:szCs w:val="32"/>
        </w:rPr>
        <w:t>需要补正材料的，应当场或者在2个工作日内一次性告知缴</w:t>
      </w:r>
      <w:r>
        <w:rPr>
          <w:rFonts w:hint="eastAsia" w:ascii="Times New Roman" w:hAnsi="Times New Roman" w:eastAsia="方正仿宋_GBK"/>
          <w:sz w:val="32"/>
          <w:szCs w:val="32"/>
        </w:rPr>
        <w:t>费</w:t>
      </w:r>
      <w:r>
        <w:rPr>
          <w:rFonts w:ascii="Times New Roman" w:hAnsi="Times New Roman" w:eastAsia="方正仿宋_GBK"/>
          <w:sz w:val="32"/>
          <w:szCs w:val="32"/>
        </w:rPr>
        <w:t>义务人。建筑工程施工许可审批部门在受理申请时，应当核查配套费缴纳情况，</w:t>
      </w:r>
      <w:r>
        <w:rPr>
          <w:rFonts w:hint="eastAsia" w:ascii="Times New Roman" w:hAnsi="Times New Roman" w:eastAsia="方正仿宋_GBK"/>
          <w:sz w:val="32"/>
          <w:szCs w:val="32"/>
        </w:rPr>
        <w:t>发现有</w:t>
      </w:r>
      <w:r>
        <w:rPr>
          <w:rFonts w:ascii="Times New Roman" w:hAnsi="Times New Roman" w:eastAsia="方正仿宋_GBK"/>
          <w:sz w:val="32"/>
          <w:szCs w:val="32"/>
        </w:rPr>
        <w:t>未缴纳</w:t>
      </w:r>
      <w:r>
        <w:rPr>
          <w:rFonts w:hint="eastAsia" w:ascii="Times New Roman" w:hAnsi="Times New Roman" w:eastAsia="方正仿宋_GBK"/>
          <w:sz w:val="32"/>
          <w:szCs w:val="32"/>
        </w:rPr>
        <w:t>情形</w:t>
      </w:r>
      <w:r>
        <w:rPr>
          <w:rFonts w:ascii="Times New Roman" w:hAnsi="Times New Roman" w:eastAsia="方正仿宋_GBK"/>
          <w:sz w:val="32"/>
          <w:szCs w:val="32"/>
        </w:rPr>
        <w:t>的，应督促缴费义务人完成</w:t>
      </w:r>
      <w:r>
        <w:rPr>
          <w:rFonts w:hint="eastAsia" w:ascii="Times New Roman" w:hAnsi="Times New Roman" w:eastAsia="方正仿宋_GBK"/>
          <w:sz w:val="32"/>
          <w:szCs w:val="32"/>
        </w:rPr>
        <w:t>缴纳</w:t>
      </w:r>
      <w:r>
        <w:rPr>
          <w:rFonts w:ascii="Times New Roman" w:hAnsi="Times New Roman" w:eastAsia="方正仿宋_GBK"/>
          <w:sz w:val="32"/>
          <w:szCs w:val="32"/>
        </w:rPr>
        <w:t>。按规定无需办理建筑工程施工许可证的，应当在领取建设工程规划许可证后</w:t>
      </w:r>
      <w:r>
        <w:rPr>
          <w:rFonts w:hint="eastAsia" w:ascii="Times New Roman" w:hAnsi="Times New Roman" w:eastAsia="方正仿宋_GBK"/>
          <w:sz w:val="32"/>
          <w:szCs w:val="32"/>
        </w:rPr>
        <w:t>7</w:t>
      </w:r>
      <w:r>
        <w:rPr>
          <w:rFonts w:ascii="Times New Roman" w:hAnsi="Times New Roman" w:eastAsia="方正仿宋_GBK"/>
          <w:sz w:val="32"/>
          <w:szCs w:val="32"/>
        </w:rPr>
        <w:t>个工作日内足额缴纳配套费。</w:t>
      </w:r>
    </w:p>
    <w:p w14:paraId="255CB916">
      <w:pPr>
        <w:keepNext w:val="0"/>
        <w:keepLines w:val="0"/>
        <w:pageBreakBefore w:val="0"/>
        <w:kinsoku/>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方正仿宋_GBK"/>
          <w:sz w:val="32"/>
          <w:szCs w:val="32"/>
        </w:rPr>
      </w:pPr>
      <w:r>
        <w:rPr>
          <w:rFonts w:ascii="Times New Roman" w:hAnsi="Times New Roman" w:eastAsia="方正仿宋_GBK"/>
          <w:b/>
          <w:bCs/>
          <w:sz w:val="32"/>
          <w:szCs w:val="32"/>
        </w:rPr>
        <w:t>第</w:t>
      </w:r>
      <w:r>
        <w:rPr>
          <w:rFonts w:hint="eastAsia" w:ascii="Times New Roman" w:hAnsi="Times New Roman" w:eastAsia="方正仿宋_GBK"/>
          <w:b/>
          <w:bCs/>
          <w:sz w:val="32"/>
          <w:szCs w:val="32"/>
        </w:rPr>
        <w:t>九</w:t>
      </w:r>
      <w:r>
        <w:rPr>
          <w:rFonts w:ascii="Times New Roman" w:hAnsi="Times New Roman" w:eastAsia="方正仿宋_GBK"/>
          <w:b/>
          <w:bCs/>
          <w:sz w:val="32"/>
          <w:szCs w:val="32"/>
        </w:rPr>
        <w:t>条</w:t>
      </w:r>
      <w:r>
        <w:rPr>
          <w:rFonts w:ascii="Times New Roman" w:hAnsi="Times New Roman" w:eastAsia="方正仿宋_GBK"/>
          <w:sz w:val="32"/>
          <w:szCs w:val="32"/>
        </w:rPr>
        <w:t xml:space="preserve"> 补缴</w:t>
      </w:r>
      <w:r>
        <w:rPr>
          <w:rFonts w:hint="eastAsia" w:ascii="Times New Roman" w:hAnsi="Times New Roman" w:eastAsia="方正仿宋_GBK"/>
          <w:sz w:val="32"/>
          <w:szCs w:val="32"/>
        </w:rPr>
        <w:t>以及需要退付</w:t>
      </w:r>
      <w:r>
        <w:rPr>
          <w:rFonts w:ascii="Times New Roman" w:hAnsi="Times New Roman" w:eastAsia="方正仿宋_GBK"/>
          <w:sz w:val="32"/>
          <w:szCs w:val="32"/>
        </w:rPr>
        <w:t>配套费</w:t>
      </w:r>
      <w:r>
        <w:rPr>
          <w:rFonts w:hint="eastAsia" w:ascii="Times New Roman" w:hAnsi="Times New Roman" w:eastAsia="方正仿宋_GBK"/>
          <w:sz w:val="32"/>
          <w:szCs w:val="32"/>
        </w:rPr>
        <w:t>的情形，依照《淮安市本级城市基础设施配套费征收管理办法》（淮政规〔2025〕7号）第九条、第十条规定。</w:t>
      </w:r>
    </w:p>
    <w:p w14:paraId="7113AFE9">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z w:val="32"/>
          <w:szCs w:val="32"/>
        </w:rPr>
      </w:pPr>
      <w:r>
        <w:rPr>
          <w:rFonts w:ascii="Times New Roman" w:hAnsi="Times New Roman" w:eastAsia="方正仿宋_GBK"/>
          <w:sz w:val="32"/>
          <w:szCs w:val="32"/>
        </w:rPr>
        <w:t>缴费义务人应当在办理竣工验收备案手续之前补缴配套费。县竣工验收备案受理部门在受理竣工验收备案申请时，应当核查缴费义务人配套费缴纳情况，发现有未补缴情形的，应当督促缴费义务人补缴。</w:t>
      </w:r>
    </w:p>
    <w:p w14:paraId="34A40BF1">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z w:val="32"/>
          <w:szCs w:val="32"/>
        </w:rPr>
      </w:pPr>
      <w:r>
        <w:rPr>
          <w:rFonts w:ascii="Times New Roman" w:hAnsi="Times New Roman" w:eastAsia="方正仿宋_GBK"/>
          <w:sz w:val="32"/>
          <w:szCs w:val="32"/>
        </w:rPr>
        <w:t>需要退付配套费的，缴费义务人应当向县住建局提出申请，经县住建局确认，报县财政部门审核，并由县财政部门办理退费手续。</w:t>
      </w:r>
    </w:p>
    <w:p w14:paraId="4355CFB0">
      <w:pPr>
        <w:keepNext w:val="0"/>
        <w:keepLines w:val="0"/>
        <w:pageBreakBefore w:val="0"/>
        <w:kinsoku/>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方正仿宋_GBK"/>
          <w:sz w:val="32"/>
          <w:szCs w:val="32"/>
        </w:rPr>
      </w:pPr>
      <w:r>
        <w:rPr>
          <w:rFonts w:ascii="Times New Roman" w:hAnsi="Times New Roman" w:eastAsia="方正仿宋_GBK"/>
          <w:b/>
          <w:bCs/>
          <w:sz w:val="32"/>
          <w:szCs w:val="32"/>
        </w:rPr>
        <w:t>第</w:t>
      </w:r>
      <w:r>
        <w:rPr>
          <w:rFonts w:hint="eastAsia" w:ascii="Times New Roman" w:hAnsi="Times New Roman" w:eastAsia="方正仿宋_GBK"/>
          <w:b/>
          <w:bCs/>
          <w:sz w:val="32"/>
          <w:szCs w:val="32"/>
        </w:rPr>
        <w:t>十</w:t>
      </w:r>
      <w:r>
        <w:rPr>
          <w:rFonts w:ascii="Times New Roman" w:hAnsi="Times New Roman" w:eastAsia="方正仿宋_GBK"/>
          <w:b/>
          <w:bCs/>
          <w:sz w:val="32"/>
          <w:szCs w:val="32"/>
        </w:rPr>
        <w:t>条</w:t>
      </w:r>
      <w:r>
        <w:rPr>
          <w:rFonts w:ascii="Times New Roman" w:hAnsi="Times New Roman" w:eastAsia="方正仿宋_GBK"/>
          <w:sz w:val="32"/>
          <w:szCs w:val="32"/>
        </w:rPr>
        <w:t xml:space="preserve"> 缴费义务人无正当理由不申报、不缴纳配套费的，县住建局可以依法通过制作并送达《城市基础设施配套费限期申报通知书》《城市基础设施配套费催缴通知书》等方式催报催缴；经催缴仍不缴纳的，依法送达《城市基础设施配套费征缴决定</w:t>
      </w:r>
      <w:r>
        <w:rPr>
          <w:rFonts w:hint="eastAsia" w:ascii="Times New Roman" w:hAnsi="Times New Roman" w:eastAsia="方正仿宋_GBK"/>
          <w:sz w:val="32"/>
          <w:szCs w:val="32"/>
        </w:rPr>
        <w:t>书》</w:t>
      </w:r>
      <w:r>
        <w:rPr>
          <w:rFonts w:ascii="Times New Roman" w:hAnsi="Times New Roman" w:eastAsia="方正仿宋_GBK"/>
          <w:sz w:val="32"/>
          <w:szCs w:val="32"/>
        </w:rPr>
        <w:t>，责令其限期缴纳；逾期仍不缴纳的，</w:t>
      </w:r>
      <w:r>
        <w:rPr>
          <w:rFonts w:hint="eastAsia" w:ascii="Times New Roman" w:hAnsi="Times New Roman" w:eastAsia="方正仿宋_GBK"/>
          <w:sz w:val="32"/>
          <w:szCs w:val="32"/>
        </w:rPr>
        <w:t>可</w:t>
      </w:r>
      <w:r>
        <w:rPr>
          <w:rFonts w:ascii="Times New Roman" w:hAnsi="Times New Roman" w:eastAsia="方正仿宋_GBK"/>
          <w:sz w:val="32"/>
          <w:szCs w:val="32"/>
        </w:rPr>
        <w:t>依法申请人民法院强制执行。</w:t>
      </w:r>
    </w:p>
    <w:p w14:paraId="2DB98D91">
      <w:pPr>
        <w:pStyle w:val="5"/>
        <w:keepNext w:val="0"/>
        <w:keepLines w:val="0"/>
        <w:pageBreakBefore w:val="0"/>
        <w:widowControl/>
        <w:shd w:val="clear" w:color="auto" w:fill="FFFFFF"/>
        <w:kinsoku/>
        <w:wordWrap/>
        <w:overflowPunct/>
        <w:topLinePunct w:val="0"/>
        <w:autoSpaceDE w:val="0"/>
        <w:bidi w:val="0"/>
        <w:spacing w:before="0" w:beforeAutospacing="0" w:after="0" w:afterAutospacing="0" w:line="560" w:lineRule="exact"/>
        <w:ind w:firstLine="643" w:firstLineChars="200"/>
        <w:jc w:val="both"/>
        <w:rPr>
          <w:rFonts w:ascii="Times New Roman" w:hAnsi="Times New Roman" w:eastAsia="方正仿宋_GBK"/>
          <w:kern w:val="2"/>
          <w:sz w:val="32"/>
          <w:szCs w:val="32"/>
        </w:rPr>
      </w:pPr>
      <w:r>
        <w:rPr>
          <w:rFonts w:ascii="Times New Roman" w:hAnsi="Times New Roman" w:eastAsia="方正仿宋_GBK"/>
          <w:b/>
          <w:bCs/>
          <w:sz w:val="32"/>
          <w:szCs w:val="32"/>
        </w:rPr>
        <w:t>第</w:t>
      </w:r>
      <w:r>
        <w:rPr>
          <w:rFonts w:hint="eastAsia" w:ascii="Times New Roman" w:hAnsi="Times New Roman" w:eastAsia="方正仿宋_GBK"/>
          <w:b/>
          <w:bCs/>
          <w:sz w:val="32"/>
          <w:szCs w:val="32"/>
        </w:rPr>
        <w:t>十一</w:t>
      </w:r>
      <w:r>
        <w:rPr>
          <w:rFonts w:ascii="Times New Roman" w:hAnsi="Times New Roman" w:eastAsia="方正仿宋_GBK"/>
          <w:b/>
          <w:bCs/>
          <w:sz w:val="32"/>
          <w:szCs w:val="32"/>
        </w:rPr>
        <w:t>条</w:t>
      </w:r>
      <w:r>
        <w:rPr>
          <w:rFonts w:ascii="Times New Roman" w:hAnsi="Times New Roman" w:eastAsia="方正仿宋_GBK"/>
          <w:sz w:val="32"/>
          <w:szCs w:val="32"/>
        </w:rPr>
        <w:t xml:space="preserve"> </w:t>
      </w:r>
      <w:r>
        <w:rPr>
          <w:rFonts w:hint="eastAsia" w:ascii="Times New Roman" w:hAnsi="Times New Roman" w:eastAsia="方正仿宋_GBK"/>
          <w:kern w:val="2"/>
          <w:sz w:val="32"/>
          <w:szCs w:val="32"/>
        </w:rPr>
        <w:t>本办法</w:t>
      </w:r>
      <w:r>
        <w:rPr>
          <w:rFonts w:ascii="Times New Roman" w:hAnsi="Times New Roman" w:eastAsia="方正仿宋_GBK"/>
          <w:kern w:val="2"/>
          <w:sz w:val="32"/>
          <w:szCs w:val="32"/>
        </w:rPr>
        <w:t>由县政府负责解释，具体解释工作由县政府办商县住建</w:t>
      </w:r>
      <w:r>
        <w:rPr>
          <w:rFonts w:hint="eastAsia" w:ascii="Times New Roman" w:hAnsi="Times New Roman" w:eastAsia="方正仿宋_GBK"/>
          <w:kern w:val="2"/>
          <w:sz w:val="32"/>
          <w:szCs w:val="32"/>
        </w:rPr>
        <w:t>局和县财政局</w:t>
      </w:r>
      <w:r>
        <w:rPr>
          <w:rFonts w:ascii="Times New Roman" w:hAnsi="Times New Roman" w:eastAsia="方正仿宋_GBK"/>
          <w:kern w:val="2"/>
          <w:sz w:val="32"/>
          <w:szCs w:val="32"/>
        </w:rPr>
        <w:t>负责。</w:t>
      </w:r>
    </w:p>
    <w:p w14:paraId="446ADF78">
      <w:pPr>
        <w:pStyle w:val="5"/>
        <w:keepNext w:val="0"/>
        <w:keepLines w:val="0"/>
        <w:pageBreakBefore w:val="0"/>
        <w:widowControl/>
        <w:shd w:val="clear" w:color="auto" w:fill="FFFFFF"/>
        <w:kinsoku/>
        <w:wordWrap/>
        <w:overflowPunct/>
        <w:topLinePunct w:val="0"/>
        <w:autoSpaceDE w:val="0"/>
        <w:bidi w:val="0"/>
        <w:spacing w:before="0" w:beforeAutospacing="0" w:after="0" w:afterAutospacing="0" w:line="560" w:lineRule="exact"/>
        <w:ind w:firstLine="643" w:firstLineChars="200"/>
        <w:jc w:val="both"/>
        <w:rPr>
          <w:rFonts w:ascii="Times New Roman" w:hAnsi="Times New Roman" w:eastAsia="方正仿宋_GBK"/>
          <w:sz w:val="32"/>
          <w:szCs w:val="32"/>
        </w:rPr>
      </w:pPr>
      <w:r>
        <w:rPr>
          <w:rFonts w:ascii="Times New Roman" w:hAnsi="Times New Roman" w:eastAsia="方正仿宋_GBK"/>
          <w:b/>
          <w:bCs/>
          <w:sz w:val="32"/>
          <w:szCs w:val="32"/>
        </w:rPr>
        <w:t>第十</w:t>
      </w:r>
      <w:r>
        <w:rPr>
          <w:rFonts w:hint="eastAsia" w:ascii="Times New Roman" w:hAnsi="Times New Roman" w:eastAsia="方正仿宋_GBK"/>
          <w:b/>
          <w:bCs/>
          <w:sz w:val="32"/>
          <w:szCs w:val="32"/>
        </w:rPr>
        <w:t>二</w:t>
      </w:r>
      <w:r>
        <w:rPr>
          <w:rFonts w:ascii="Times New Roman" w:hAnsi="Times New Roman" w:eastAsia="方正仿宋_GBK"/>
          <w:b/>
          <w:bCs/>
          <w:sz w:val="32"/>
          <w:szCs w:val="32"/>
        </w:rPr>
        <w:t>条</w:t>
      </w:r>
      <w:r>
        <w:rPr>
          <w:rFonts w:hint="eastAsia" w:ascii="Times New Roman" w:hAnsi="Times New Roman" w:eastAsia="方正仿宋_GBK"/>
          <w:b/>
          <w:bCs/>
          <w:sz w:val="32"/>
          <w:szCs w:val="32"/>
        </w:rPr>
        <w:t xml:space="preserve"> </w:t>
      </w:r>
      <w:r>
        <w:rPr>
          <w:rFonts w:ascii="Times New Roman" w:hAnsi="Times New Roman" w:eastAsia="方正仿宋_GBK"/>
          <w:sz w:val="32"/>
          <w:szCs w:val="32"/>
        </w:rPr>
        <w:t>本办法自</w:t>
      </w:r>
      <w:r>
        <w:rPr>
          <w:rFonts w:hint="eastAsia" w:ascii="Times New Roman" w:hAnsi="Times New Roman" w:eastAsia="方正仿宋_GBK"/>
          <w:sz w:val="32"/>
          <w:szCs w:val="32"/>
        </w:rPr>
        <w:t>2026年</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27</w:t>
      </w:r>
      <w:r>
        <w:rPr>
          <w:rFonts w:ascii="Times New Roman" w:hAnsi="Times New Roman" w:eastAsia="方正仿宋_GBK"/>
          <w:sz w:val="32"/>
          <w:szCs w:val="32"/>
        </w:rPr>
        <w:t>日起施行，</w:t>
      </w:r>
      <w:r>
        <w:rPr>
          <w:rFonts w:hint="eastAsia" w:ascii="Times New Roman" w:hAnsi="Times New Roman" w:eastAsia="方正仿宋_GBK"/>
          <w:sz w:val="32"/>
          <w:szCs w:val="32"/>
        </w:rPr>
        <w:t>有效期至2031年</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26</w:t>
      </w:r>
      <w:r>
        <w:rPr>
          <w:rFonts w:hint="eastAsia" w:ascii="Times New Roman" w:hAnsi="Times New Roman" w:eastAsia="方正仿宋_GBK"/>
          <w:sz w:val="32"/>
          <w:szCs w:val="32"/>
        </w:rPr>
        <w:t>日。</w:t>
      </w:r>
      <w:r>
        <w:rPr>
          <w:rFonts w:ascii="Times New Roman" w:hAnsi="Times New Roman" w:eastAsia="方正仿宋_GBK"/>
          <w:sz w:val="32"/>
          <w:szCs w:val="32"/>
        </w:rPr>
        <w:t>《金湖县城市基础设施配套费征收暂行办法》（金政发〔2005〕130号）</w:t>
      </w:r>
      <w:r>
        <w:rPr>
          <w:rFonts w:hint="eastAsia" w:ascii="Times New Roman" w:hAnsi="Times New Roman" w:eastAsia="方正仿宋_GBK"/>
          <w:sz w:val="32"/>
          <w:szCs w:val="32"/>
        </w:rPr>
        <w:t>自本办法施行起予以</w:t>
      </w:r>
      <w:r>
        <w:rPr>
          <w:rFonts w:ascii="Times New Roman" w:hAnsi="Times New Roman" w:eastAsia="方正仿宋_GBK"/>
          <w:sz w:val="32"/>
          <w:szCs w:val="32"/>
        </w:rPr>
        <w:t>废止</w:t>
      </w:r>
      <w:r>
        <w:rPr>
          <w:rFonts w:hint="eastAsia" w:ascii="Times New Roman" w:hAnsi="Times New Roman" w:eastAsia="方正仿宋_GBK"/>
          <w:sz w:val="32"/>
          <w:szCs w:val="32"/>
        </w:rPr>
        <w:t>，</w:t>
      </w:r>
      <w:r>
        <w:rPr>
          <w:rFonts w:ascii="Times New Roman" w:hAnsi="Times New Roman" w:eastAsia="方正仿宋_GBK"/>
          <w:sz w:val="32"/>
          <w:szCs w:val="32"/>
        </w:rPr>
        <w:t>《关于进一步规范城市建设规费征收管理的规定》（金政发〔2011〕103号）中</w:t>
      </w:r>
      <w:r>
        <w:rPr>
          <w:rFonts w:hint="eastAsia" w:ascii="Times New Roman" w:hAnsi="Times New Roman" w:eastAsia="方正仿宋_GBK"/>
          <w:sz w:val="32"/>
          <w:szCs w:val="32"/>
        </w:rPr>
        <w:t>与本办法不符的以本办法为准。</w:t>
      </w:r>
    </w:p>
    <w:p w14:paraId="4B0EC7B3">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z w:val="32"/>
          <w:szCs w:val="32"/>
        </w:rPr>
      </w:pPr>
    </w:p>
    <w:p w14:paraId="37716C6D">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z w:val="32"/>
          <w:szCs w:val="32"/>
        </w:rPr>
      </w:pPr>
      <w:r>
        <w:rPr>
          <w:rFonts w:ascii="Times New Roman" w:hAnsi="Times New Roman" w:eastAsia="方正仿宋_GBK"/>
          <w:sz w:val="32"/>
          <w:szCs w:val="32"/>
        </w:rPr>
        <w:t>附件：金湖县城市基础设施配套费缴费告知书</w:t>
      </w:r>
    </w:p>
    <w:p w14:paraId="29CE41AE">
      <w:pPr>
        <w:autoSpaceDE w:val="0"/>
        <w:autoSpaceDN w:val="0"/>
        <w:adjustRightInd w:val="0"/>
        <w:snapToGrid w:val="0"/>
        <w:spacing w:line="560" w:lineRule="exact"/>
        <w:ind w:firstLine="680"/>
        <w:textAlignment w:val="baseline"/>
        <w:rPr>
          <w:rFonts w:ascii="Times New Roman" w:hAnsi="Times New Roman" w:eastAsia="方正仿宋_GBK"/>
          <w:spacing w:val="12"/>
          <w:sz w:val="32"/>
          <w:szCs w:val="32"/>
        </w:rPr>
        <w:sectPr>
          <w:headerReference r:id="rId3" w:type="default"/>
          <w:footerReference r:id="rId4" w:type="default"/>
          <w:pgSz w:w="11830" w:h="16750"/>
          <w:pgMar w:top="2098" w:right="1587" w:bottom="1984" w:left="1587" w:header="0" w:footer="1417" w:gutter="0"/>
          <w:pgNumType w:fmt="numberInDash"/>
          <w:cols w:space="720" w:num="1"/>
          <w:docGrid w:linePitch="1" w:charSpace="0"/>
        </w:sectPr>
      </w:pPr>
    </w:p>
    <w:p w14:paraId="04E6ADC6">
      <w:pPr>
        <w:widowControl/>
        <w:autoSpaceDE w:val="0"/>
        <w:autoSpaceDN w:val="0"/>
        <w:adjustRightInd w:val="0"/>
        <w:snapToGrid w:val="0"/>
        <w:spacing w:before="91" w:line="224" w:lineRule="auto"/>
        <w:ind w:left="59"/>
        <w:textAlignment w:val="baseline"/>
        <w:rPr>
          <w:rFonts w:ascii="黑体" w:hAnsi="黑体" w:eastAsia="黑体" w:cs="黑体"/>
          <w:sz w:val="32"/>
          <w:szCs w:val="32"/>
        </w:rPr>
      </w:pPr>
      <w:r>
        <w:rPr>
          <w:rFonts w:ascii="黑体" w:hAnsi="黑体" w:eastAsia="黑体" w:cs="黑体"/>
          <w:spacing w:val="11"/>
          <w:sz w:val="32"/>
          <w:szCs w:val="32"/>
        </w:rPr>
        <w:t>附件</w:t>
      </w:r>
    </w:p>
    <w:p w14:paraId="04D63E6B">
      <w:pPr>
        <w:keepNext w:val="0"/>
        <w:keepLines w:val="0"/>
        <w:pageBreakBefore w:val="0"/>
        <w:widowControl/>
        <w:kinsoku/>
        <w:wordWrap/>
        <w:overflowPunct/>
        <w:topLinePunct w:val="0"/>
        <w:autoSpaceDE w:val="0"/>
        <w:autoSpaceDN w:val="0"/>
        <w:bidi w:val="0"/>
        <w:adjustRightInd w:val="0"/>
        <w:snapToGrid w:val="0"/>
        <w:spacing w:line="640" w:lineRule="exact"/>
        <w:ind w:right="-57"/>
        <w:jc w:val="center"/>
        <w:textAlignment w:val="baseline"/>
        <w:rPr>
          <w:rFonts w:ascii="宋体" w:hAnsi="宋体" w:cs="宋体"/>
          <w:spacing w:val="5"/>
          <w:sz w:val="44"/>
          <w:szCs w:val="44"/>
        </w:rPr>
      </w:pPr>
      <w:r>
        <w:rPr>
          <w:rFonts w:hint="eastAsia" w:ascii="方正小标宋_GBK" w:hAnsi="方正小标宋_GBK" w:eastAsia="方正小标宋_GBK" w:cs="方正小标宋_GBK"/>
          <w:sz w:val="44"/>
          <w:szCs w:val="44"/>
        </w:rPr>
        <w:t>金湖县城市基础设施配套费缴费告知书</w:t>
      </w:r>
    </w:p>
    <w:p w14:paraId="73A7D80C">
      <w:pPr>
        <w:widowControl/>
        <w:autoSpaceDE w:val="0"/>
        <w:autoSpaceDN w:val="0"/>
        <w:adjustRightInd w:val="0"/>
        <w:snapToGrid w:val="0"/>
        <w:spacing w:before="17" w:line="286" w:lineRule="auto"/>
        <w:ind w:left="5859" w:right="823" w:hanging="5229"/>
        <w:jc w:val="center"/>
        <w:textAlignment w:val="baseline"/>
        <w:rPr>
          <w:rFonts w:ascii="Times New Roman" w:hAnsi="Times New Roman" w:eastAsia="方正仿宋_GBK"/>
          <w:sz w:val="28"/>
          <w:szCs w:val="28"/>
        </w:rPr>
      </w:pPr>
      <w:r>
        <w:rPr>
          <w:rFonts w:hint="eastAsia" w:ascii="Times New Roman" w:hAnsi="Times New Roman" w:eastAsia="方正仿宋_GBK"/>
          <w:sz w:val="28"/>
          <w:szCs w:val="28"/>
        </w:rPr>
        <w:t xml:space="preserve">                             </w:t>
      </w:r>
      <w:r>
        <w:rPr>
          <w:rFonts w:ascii="Times New Roman" w:hAnsi="Times New Roman" w:eastAsia="方正仿宋_GBK"/>
          <w:sz w:val="28"/>
          <w:szCs w:val="28"/>
        </w:rPr>
        <w:t>编号：</w:t>
      </w:r>
    </w:p>
    <w:p w14:paraId="445A29B0">
      <w:pPr>
        <w:pStyle w:val="2"/>
        <w:keepNext w:val="0"/>
        <w:keepLines w:val="0"/>
        <w:pageBreakBefore w:val="0"/>
        <w:widowControl/>
        <w:tabs>
          <w:tab w:val="left" w:pos="2708"/>
        </w:tabs>
        <w:kinsoku/>
        <w:wordWrap/>
        <w:overflowPunct/>
        <w:topLinePunct w:val="0"/>
        <w:autoSpaceDE w:val="0"/>
        <w:autoSpaceDN w:val="0"/>
        <w:bidi w:val="0"/>
        <w:adjustRightInd w:val="0"/>
        <w:snapToGrid w:val="0"/>
        <w:spacing w:after="0" w:line="520" w:lineRule="exact"/>
        <w:textAlignment w:val="baseline"/>
        <w:rPr>
          <w:rFonts w:ascii="Times New Roman" w:hAnsi="Times New Roman" w:eastAsia="方正仿宋_GBK"/>
          <w:sz w:val="28"/>
          <w:szCs w:val="28"/>
        </w:rPr>
      </w:pPr>
      <w:r>
        <w:rPr>
          <w:rFonts w:ascii="Times New Roman" w:hAnsi="Times New Roman" w:eastAsia="方正仿宋_GBK"/>
          <w:sz w:val="28"/>
          <w:szCs w:val="28"/>
          <w:u w:val="single"/>
        </w:rPr>
        <w:tab/>
      </w:r>
      <w:r>
        <w:rPr>
          <w:rFonts w:ascii="Times New Roman" w:hAnsi="Times New Roman" w:eastAsia="方正仿宋_GBK"/>
          <w:sz w:val="28"/>
          <w:szCs w:val="28"/>
        </w:rPr>
        <w:t>：</w:t>
      </w:r>
    </w:p>
    <w:p w14:paraId="0A1CFA53">
      <w:pPr>
        <w:keepNext w:val="0"/>
        <w:keepLines w:val="0"/>
        <w:pageBreakBefore w:val="0"/>
        <w:widowControl/>
        <w:kinsoku/>
        <w:wordWrap/>
        <w:overflowPunct/>
        <w:topLinePunct w:val="0"/>
        <w:autoSpaceDE w:val="0"/>
        <w:autoSpaceDN w:val="0"/>
        <w:bidi w:val="0"/>
        <w:adjustRightInd w:val="0"/>
        <w:snapToGrid w:val="0"/>
        <w:spacing w:line="520" w:lineRule="exact"/>
        <w:ind w:firstLine="560" w:firstLineChars="200"/>
        <w:textAlignment w:val="baseline"/>
        <w:rPr>
          <w:rFonts w:ascii="Times New Roman" w:hAnsi="Times New Roman" w:eastAsia="方正仿宋_GBK"/>
          <w:sz w:val="28"/>
          <w:szCs w:val="28"/>
        </w:rPr>
      </w:pPr>
      <w:r>
        <w:rPr>
          <w:rFonts w:ascii="Times New Roman" w:hAnsi="Times New Roman" w:eastAsia="方正仿宋_GBK"/>
          <w:sz w:val="28"/>
          <w:szCs w:val="28"/>
        </w:rPr>
        <w:t>你单位</w:t>
      </w:r>
      <w:r>
        <w:rPr>
          <w:rFonts w:ascii="Times New Roman" w:hAnsi="Times New Roman" w:eastAsia="方正仿宋_GBK"/>
          <w:sz w:val="28"/>
          <w:szCs w:val="28"/>
          <w:u w:val="single"/>
        </w:rPr>
        <w:t xml:space="preserve">    </w:t>
      </w:r>
      <w:r>
        <w:rPr>
          <w:rFonts w:hint="eastAsia" w:ascii="Times New Roman" w:hAnsi="Times New Roman" w:eastAsia="方正仿宋_GBK"/>
          <w:sz w:val="28"/>
          <w:szCs w:val="28"/>
          <w:u w:val="single"/>
        </w:rPr>
        <w:t xml:space="preserve">              </w:t>
      </w:r>
      <w:r>
        <w:rPr>
          <w:rFonts w:ascii="Times New Roman" w:hAnsi="Times New Roman" w:eastAsia="方正仿宋_GBK"/>
          <w:sz w:val="28"/>
          <w:szCs w:val="28"/>
          <w:u w:val="single"/>
        </w:rPr>
        <w:t xml:space="preserve">   </w:t>
      </w:r>
      <w:r>
        <w:rPr>
          <w:rFonts w:ascii="Times New Roman" w:hAnsi="Times New Roman" w:eastAsia="方正仿宋_GBK"/>
          <w:sz w:val="28"/>
          <w:szCs w:val="28"/>
        </w:rPr>
        <w:t>项目</w:t>
      </w:r>
      <w:r>
        <w:rPr>
          <w:rFonts w:hint="eastAsia" w:ascii="Times New Roman" w:hAnsi="Times New Roman" w:eastAsia="方正仿宋_GBK"/>
          <w:sz w:val="28"/>
          <w:szCs w:val="28"/>
        </w:rPr>
        <w:t>（</w:t>
      </w:r>
      <w:r>
        <w:rPr>
          <w:rFonts w:ascii="Times New Roman" w:hAnsi="Times New Roman" w:eastAsia="方正仿宋_GBK"/>
          <w:sz w:val="28"/>
          <w:szCs w:val="28"/>
        </w:rPr>
        <w:t>规划许可证号</w:t>
      </w:r>
      <w:r>
        <w:rPr>
          <w:rFonts w:ascii="Times New Roman" w:hAnsi="Times New Roman" w:eastAsia="方正仿宋_GBK"/>
          <w:sz w:val="28"/>
          <w:szCs w:val="28"/>
          <w:u w:val="single"/>
        </w:rPr>
        <w:t xml:space="preserve">   </w:t>
      </w:r>
      <w:r>
        <w:rPr>
          <w:rFonts w:hint="eastAsia" w:ascii="Times New Roman" w:hAnsi="Times New Roman" w:eastAsia="方正仿宋_GBK"/>
          <w:sz w:val="28"/>
          <w:szCs w:val="28"/>
          <w:u w:val="single"/>
        </w:rPr>
        <w:t xml:space="preserve">  </w:t>
      </w:r>
      <w:r>
        <w:rPr>
          <w:rFonts w:ascii="Times New Roman" w:hAnsi="Times New Roman" w:eastAsia="方正仿宋_GBK"/>
          <w:sz w:val="28"/>
          <w:szCs w:val="28"/>
          <w:u w:val="single"/>
        </w:rPr>
        <w:t xml:space="preserve">   </w:t>
      </w:r>
      <w:r>
        <w:rPr>
          <w:rFonts w:hint="eastAsia" w:ascii="Times New Roman" w:hAnsi="Times New Roman" w:eastAsia="方正仿宋_GBK"/>
          <w:sz w:val="28"/>
          <w:szCs w:val="28"/>
        </w:rPr>
        <w:t xml:space="preserve">） </w:t>
      </w:r>
      <w:r>
        <w:rPr>
          <w:rFonts w:ascii="Times New Roman" w:hAnsi="Times New Roman" w:eastAsia="方正仿宋_GBK"/>
          <w:sz w:val="28"/>
          <w:szCs w:val="28"/>
        </w:rPr>
        <w:t>于</w:t>
      </w:r>
      <w:r>
        <w:rPr>
          <w:rFonts w:hint="eastAsia" w:ascii="Times New Roman" w:hAnsi="Times New Roman" w:eastAsia="方正仿宋_GBK"/>
          <w:sz w:val="28"/>
          <w:szCs w:val="28"/>
          <w:u w:val="single"/>
        </w:rPr>
        <w:t xml:space="preserve">       </w:t>
      </w:r>
      <w:r>
        <w:rPr>
          <w:rFonts w:ascii="Times New Roman" w:hAnsi="Times New Roman" w:eastAsia="方正仿宋_GBK"/>
          <w:sz w:val="28"/>
          <w:szCs w:val="28"/>
        </w:rPr>
        <w:t>年</w:t>
      </w:r>
      <w:r>
        <w:rPr>
          <w:rFonts w:ascii="Times New Roman" w:hAnsi="Times New Roman" w:eastAsia="方正仿宋_GBK"/>
          <w:sz w:val="28"/>
          <w:szCs w:val="28"/>
          <w:u w:val="single"/>
        </w:rPr>
        <w:t xml:space="preserve">   </w:t>
      </w:r>
      <w:r>
        <w:rPr>
          <w:rFonts w:ascii="Times New Roman" w:hAnsi="Times New Roman" w:eastAsia="方正仿宋_GBK"/>
          <w:sz w:val="28"/>
          <w:szCs w:val="28"/>
        </w:rPr>
        <w:t>月</w:t>
      </w:r>
      <w:r>
        <w:rPr>
          <w:rFonts w:ascii="Times New Roman" w:hAnsi="Times New Roman" w:eastAsia="方正仿宋_GBK"/>
          <w:sz w:val="28"/>
          <w:szCs w:val="28"/>
          <w:u w:val="single"/>
        </w:rPr>
        <w:t xml:space="preserve">   </w:t>
      </w:r>
      <w:r>
        <w:rPr>
          <w:rFonts w:ascii="Times New Roman" w:hAnsi="Times New Roman" w:eastAsia="方正仿宋_GBK"/>
          <w:sz w:val="28"/>
          <w:szCs w:val="28"/>
        </w:rPr>
        <w:t>日已完成规划审批，项目建筑面积</w:t>
      </w:r>
      <w:r>
        <w:rPr>
          <w:rFonts w:ascii="Times New Roman" w:hAnsi="Times New Roman" w:eastAsia="方正仿宋_GBK"/>
          <w:sz w:val="28"/>
          <w:szCs w:val="28"/>
          <w:u w:val="single"/>
        </w:rPr>
        <w:t xml:space="preserve">       </w:t>
      </w:r>
      <w:r>
        <w:rPr>
          <w:rFonts w:ascii="Times New Roman" w:hAnsi="Times New Roman" w:eastAsia="方正仿宋_GBK"/>
          <w:sz w:val="28"/>
          <w:szCs w:val="28"/>
        </w:rPr>
        <w:t>m²</w:t>
      </w:r>
      <w:r>
        <w:rPr>
          <w:rFonts w:hint="eastAsia" w:ascii="Times New Roman" w:hAnsi="Times New Roman" w:eastAsia="方正仿宋_GBK"/>
          <w:sz w:val="28"/>
          <w:szCs w:val="28"/>
        </w:rPr>
        <w:t>（</w:t>
      </w:r>
      <w:r>
        <w:rPr>
          <w:rFonts w:ascii="Times New Roman" w:hAnsi="Times New Roman" w:eastAsia="方正仿宋_GBK"/>
          <w:sz w:val="28"/>
          <w:szCs w:val="28"/>
        </w:rPr>
        <w:t>详见</w:t>
      </w:r>
      <w:r>
        <w:rPr>
          <w:rFonts w:hint="eastAsia" w:ascii="Times New Roman" w:hAnsi="Times New Roman" w:eastAsia="方正仿宋_GBK"/>
          <w:sz w:val="28"/>
          <w:szCs w:val="28"/>
          <w:lang w:val="en-US" w:eastAsia="zh-CN"/>
        </w:rPr>
        <w:t>县数据</w:t>
      </w:r>
      <w:r>
        <w:rPr>
          <w:rFonts w:ascii="Times New Roman" w:hAnsi="Times New Roman" w:eastAsia="方正仿宋_GBK"/>
          <w:sz w:val="28"/>
          <w:szCs w:val="28"/>
        </w:rPr>
        <w:t>局盖章的规划许可证及建筑面积计算汇总表</w:t>
      </w:r>
      <w:r>
        <w:rPr>
          <w:rFonts w:hint="eastAsia" w:ascii="Times New Roman" w:hAnsi="Times New Roman" w:eastAsia="方正仿宋_GBK"/>
          <w:sz w:val="28"/>
          <w:szCs w:val="28"/>
        </w:rPr>
        <w:t>）</w:t>
      </w:r>
      <w:r>
        <w:rPr>
          <w:rFonts w:ascii="Times New Roman" w:hAnsi="Times New Roman" w:eastAsia="方正仿宋_GBK"/>
          <w:sz w:val="28"/>
          <w:szCs w:val="28"/>
        </w:rPr>
        <w:t>。根据《江苏省非税收入管理条例》《政府性基金管理暂行办法》</w:t>
      </w:r>
      <w:r>
        <w:rPr>
          <w:rFonts w:hint="eastAsia" w:ascii="Times New Roman" w:hAnsi="Times New Roman" w:eastAsia="方正仿宋_GBK"/>
          <w:sz w:val="28"/>
          <w:szCs w:val="28"/>
        </w:rPr>
        <w:t>《金湖县城市基础设施配套费征收管理办法》</w:t>
      </w:r>
      <w:r>
        <w:rPr>
          <w:rFonts w:ascii="Times New Roman" w:hAnsi="Times New Roman" w:eastAsia="方正仿宋_GBK"/>
          <w:sz w:val="28"/>
          <w:szCs w:val="28"/>
        </w:rPr>
        <w:t>等规定，该项目应当缴纳城市基础设施配套费</w:t>
      </w:r>
      <w:r>
        <w:rPr>
          <w:rFonts w:hint="eastAsia" w:ascii="Times New Roman" w:hAnsi="Times New Roman" w:eastAsia="方正仿宋_GBK"/>
          <w:sz w:val="28"/>
          <w:szCs w:val="28"/>
        </w:rPr>
        <w:t>（</w:t>
      </w:r>
      <w:r>
        <w:rPr>
          <w:rFonts w:ascii="Times New Roman" w:hAnsi="Times New Roman" w:eastAsia="方正仿宋_GBK"/>
          <w:sz w:val="28"/>
          <w:szCs w:val="28"/>
        </w:rPr>
        <w:t>以下简称配套费</w:t>
      </w:r>
      <w:r>
        <w:rPr>
          <w:rFonts w:hint="eastAsia" w:ascii="Times New Roman" w:hAnsi="Times New Roman" w:eastAsia="方正仿宋_GBK"/>
          <w:sz w:val="28"/>
          <w:szCs w:val="28"/>
        </w:rPr>
        <w:t>）</w:t>
      </w:r>
      <w:r>
        <w:rPr>
          <w:rFonts w:ascii="Times New Roman" w:hAnsi="Times New Roman" w:eastAsia="方正仿宋_GBK"/>
          <w:sz w:val="28"/>
          <w:szCs w:val="28"/>
        </w:rPr>
        <w:t>。</w:t>
      </w:r>
    </w:p>
    <w:p w14:paraId="41D74FE5">
      <w:pPr>
        <w:keepNext w:val="0"/>
        <w:keepLines w:val="0"/>
        <w:pageBreakBefore w:val="0"/>
        <w:widowControl/>
        <w:kinsoku/>
        <w:wordWrap/>
        <w:overflowPunct/>
        <w:topLinePunct w:val="0"/>
        <w:autoSpaceDE w:val="0"/>
        <w:autoSpaceDN w:val="0"/>
        <w:bidi w:val="0"/>
        <w:adjustRightInd w:val="0"/>
        <w:snapToGrid w:val="0"/>
        <w:spacing w:line="520" w:lineRule="exact"/>
        <w:ind w:firstLine="570"/>
        <w:textAlignment w:val="baseline"/>
        <w:rPr>
          <w:rFonts w:ascii="Times New Roman" w:hAnsi="Times New Roman" w:eastAsia="方正仿宋_GBK"/>
          <w:sz w:val="28"/>
          <w:szCs w:val="28"/>
        </w:rPr>
      </w:pPr>
      <w:r>
        <w:rPr>
          <w:rFonts w:ascii="Times New Roman" w:hAnsi="Times New Roman" w:eastAsia="方正仿宋_GBK"/>
          <w:sz w:val="28"/>
          <w:szCs w:val="28"/>
        </w:rPr>
        <w:t>请你单位在办理建筑工程施工许可证前，按照建设工程规划许可证证载建筑面积足额缴纳配套费</w:t>
      </w:r>
      <w:r>
        <w:rPr>
          <w:rFonts w:hint="eastAsia" w:ascii="Times New Roman" w:hAnsi="Times New Roman" w:eastAsia="方正仿宋_GBK"/>
          <w:sz w:val="28"/>
          <w:szCs w:val="28"/>
        </w:rPr>
        <w:t>；</w:t>
      </w:r>
      <w:r>
        <w:rPr>
          <w:rFonts w:ascii="Times New Roman" w:hAnsi="Times New Roman" w:eastAsia="方正仿宋_GBK"/>
          <w:sz w:val="28"/>
          <w:szCs w:val="28"/>
        </w:rPr>
        <w:t>按规定无需办理建筑工程施工许可证的，请你单位在领取建设工程规划许可证后七个工作日内足额缴纳配套费。符合免征、减征情形的，请向</w:t>
      </w:r>
      <w:r>
        <w:rPr>
          <w:rFonts w:hint="eastAsia" w:ascii="Times New Roman" w:hAnsi="Times New Roman" w:eastAsia="方正仿宋_GBK"/>
          <w:sz w:val="28"/>
          <w:szCs w:val="28"/>
        </w:rPr>
        <w:t>县</w:t>
      </w:r>
      <w:r>
        <w:rPr>
          <w:rFonts w:ascii="Times New Roman" w:hAnsi="Times New Roman" w:eastAsia="方正仿宋_GBK"/>
          <w:sz w:val="28"/>
          <w:szCs w:val="28"/>
        </w:rPr>
        <w:t>住建局提交免征、减征书面申请以及相关材料，并对所提供材料的真实性负责。</w:t>
      </w:r>
    </w:p>
    <w:p w14:paraId="1C40375D">
      <w:pPr>
        <w:keepNext w:val="0"/>
        <w:keepLines w:val="0"/>
        <w:pageBreakBefore w:val="0"/>
        <w:widowControl/>
        <w:kinsoku/>
        <w:wordWrap/>
        <w:overflowPunct/>
        <w:topLinePunct w:val="0"/>
        <w:autoSpaceDE w:val="0"/>
        <w:autoSpaceDN w:val="0"/>
        <w:bidi w:val="0"/>
        <w:adjustRightInd w:val="0"/>
        <w:snapToGrid w:val="0"/>
        <w:spacing w:line="520" w:lineRule="exact"/>
        <w:ind w:firstLine="570"/>
        <w:textAlignment w:val="baseline"/>
        <w:rPr>
          <w:rFonts w:ascii="Times New Roman" w:hAnsi="Times New Roman" w:eastAsia="方正仿宋_GBK"/>
          <w:sz w:val="28"/>
          <w:szCs w:val="28"/>
        </w:rPr>
      </w:pPr>
      <w:r>
        <w:rPr>
          <w:rFonts w:ascii="Times New Roman" w:hAnsi="Times New Roman" w:eastAsia="方正仿宋_GBK"/>
          <w:sz w:val="28"/>
          <w:szCs w:val="28"/>
        </w:rPr>
        <w:t>缴费办理地址：</w:t>
      </w:r>
      <w:r>
        <w:rPr>
          <w:rFonts w:hint="eastAsia" w:ascii="Times New Roman" w:hAnsi="Times New Roman" w:eastAsia="方正仿宋_GBK"/>
          <w:sz w:val="28"/>
          <w:szCs w:val="28"/>
        </w:rPr>
        <w:t>县市民中心</w:t>
      </w:r>
      <w:r>
        <w:rPr>
          <w:rFonts w:ascii="Times New Roman" w:hAnsi="Times New Roman" w:eastAsia="方正仿宋_GBK"/>
          <w:sz w:val="28"/>
          <w:szCs w:val="28"/>
        </w:rPr>
        <w:t>配套费缴费服务窗口，联系电话：</w:t>
      </w:r>
      <w:r>
        <w:rPr>
          <w:rFonts w:hint="eastAsia" w:ascii="Times New Roman" w:hAnsi="Times New Roman" w:eastAsia="方正仿宋_GBK"/>
          <w:sz w:val="28"/>
          <w:szCs w:val="28"/>
          <w:u w:val="none"/>
          <w:lang w:val="en-US" w:eastAsia="zh-CN"/>
        </w:rPr>
        <w:t>0517-86905031</w:t>
      </w:r>
      <w:r>
        <w:rPr>
          <w:rFonts w:ascii="Times New Roman" w:hAnsi="Times New Roman" w:eastAsia="方正仿宋_GBK"/>
          <w:sz w:val="28"/>
          <w:szCs w:val="28"/>
          <w:u w:val="none"/>
        </w:rPr>
        <w:t>。</w:t>
      </w:r>
    </w:p>
    <w:p w14:paraId="62B9B4A4">
      <w:pPr>
        <w:keepNext w:val="0"/>
        <w:keepLines w:val="0"/>
        <w:pageBreakBefore w:val="0"/>
        <w:widowControl/>
        <w:kinsoku/>
        <w:wordWrap/>
        <w:overflowPunct/>
        <w:topLinePunct w:val="0"/>
        <w:autoSpaceDE w:val="0"/>
        <w:autoSpaceDN w:val="0"/>
        <w:bidi w:val="0"/>
        <w:adjustRightInd w:val="0"/>
        <w:snapToGrid w:val="0"/>
        <w:spacing w:line="520" w:lineRule="exact"/>
        <w:ind w:firstLine="560" w:firstLineChars="200"/>
        <w:textAlignment w:val="baseline"/>
        <w:rPr>
          <w:rFonts w:ascii="Times New Roman" w:hAnsi="Times New Roman" w:eastAsia="方正仿宋_GBK"/>
          <w:sz w:val="28"/>
          <w:szCs w:val="28"/>
        </w:rPr>
      </w:pPr>
      <w:r>
        <w:rPr>
          <w:rFonts w:ascii="Times New Roman" w:hAnsi="Times New Roman" w:eastAsia="方正仿宋_GBK"/>
          <w:sz w:val="28"/>
          <w:szCs w:val="28"/>
        </w:rPr>
        <w:t>特此告知。</w:t>
      </w:r>
    </w:p>
    <w:p w14:paraId="203CCCCE">
      <w:pPr>
        <w:keepNext w:val="0"/>
        <w:keepLines w:val="0"/>
        <w:pageBreakBefore w:val="0"/>
        <w:widowControl/>
        <w:kinsoku/>
        <w:wordWrap/>
        <w:overflowPunct/>
        <w:topLinePunct w:val="0"/>
        <w:autoSpaceDE w:val="0"/>
        <w:autoSpaceDN w:val="0"/>
        <w:bidi w:val="0"/>
        <w:adjustRightInd w:val="0"/>
        <w:snapToGrid w:val="0"/>
        <w:spacing w:line="520" w:lineRule="exact"/>
        <w:jc w:val="center"/>
        <w:textAlignment w:val="baseline"/>
        <w:rPr>
          <w:rFonts w:ascii="Times New Roman" w:hAnsi="Times New Roman" w:eastAsia="方正仿宋_GBK"/>
          <w:sz w:val="28"/>
          <w:szCs w:val="28"/>
        </w:rPr>
      </w:pPr>
      <w:r>
        <w:rPr>
          <w:rFonts w:hint="eastAsia"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金湖县数据局</w:t>
      </w:r>
      <w:r>
        <w:rPr>
          <w:rFonts w:hint="eastAsia" w:ascii="Times New Roman" w:hAnsi="Times New Roman" w:eastAsia="方正仿宋_GBK"/>
          <w:sz w:val="28"/>
          <w:szCs w:val="28"/>
        </w:rPr>
        <w:t>（盖章）</w:t>
      </w:r>
    </w:p>
    <w:p w14:paraId="0BF86730">
      <w:pPr>
        <w:keepNext w:val="0"/>
        <w:keepLines w:val="0"/>
        <w:pageBreakBefore w:val="0"/>
        <w:widowControl/>
        <w:kinsoku/>
        <w:wordWrap/>
        <w:overflowPunct/>
        <w:topLinePunct w:val="0"/>
        <w:autoSpaceDE w:val="0"/>
        <w:autoSpaceDN w:val="0"/>
        <w:bidi w:val="0"/>
        <w:adjustRightInd w:val="0"/>
        <w:snapToGrid w:val="0"/>
        <w:spacing w:line="520" w:lineRule="exact"/>
        <w:ind w:firstLine="5880" w:firstLineChars="2100"/>
        <w:textAlignment w:val="baseline"/>
        <w:rPr>
          <w:rFonts w:ascii="Times New Roman" w:hAnsi="Times New Roman" w:eastAsia="方正仿宋_GBK"/>
          <w:sz w:val="28"/>
          <w:szCs w:val="28"/>
        </w:rPr>
      </w:pPr>
      <w:r>
        <w:rPr>
          <w:rFonts w:ascii="Times New Roman" w:hAnsi="Times New Roman" w:eastAsia="方正仿宋_GBK"/>
          <w:sz w:val="28"/>
          <w:szCs w:val="28"/>
        </w:rPr>
        <w:t>年   月   日</w:t>
      </w:r>
    </w:p>
    <w:p w14:paraId="00901089">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ascii="Times New Roman" w:hAnsi="Times New Roman" w:eastAsia="方正仿宋_GBK"/>
          <w:sz w:val="28"/>
          <w:szCs w:val="28"/>
        </w:rPr>
      </w:pPr>
      <w:r>
        <w:rPr>
          <w:rFonts w:ascii="Times New Roman" w:hAnsi="Times New Roman" w:eastAsia="方正仿宋_GBK"/>
          <w:spacing w:val="50"/>
          <w:sz w:val="28"/>
          <w:szCs w:val="28"/>
        </w:rPr>
        <w:t>受送达人签字</w:t>
      </w:r>
      <w:r>
        <w:rPr>
          <w:rFonts w:ascii="Times New Roman" w:hAnsi="Times New Roman" w:eastAsia="方正仿宋_GBK"/>
          <w:sz w:val="28"/>
          <w:szCs w:val="28"/>
        </w:rPr>
        <w:t>：</w:t>
      </w:r>
      <w:r>
        <w:rPr>
          <w:rFonts w:ascii="Times New Roman" w:hAnsi="Times New Roman" w:eastAsia="方正仿宋_GBK"/>
          <w:sz w:val="28"/>
          <w:szCs w:val="28"/>
          <w:u w:val="single"/>
        </w:rPr>
        <w:t xml:space="preserve">                  </w:t>
      </w:r>
    </w:p>
    <w:p w14:paraId="45FC1E75">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ascii="Times New Roman" w:hAnsi="Times New Roman" w:eastAsia="方正仿宋_GBK"/>
          <w:sz w:val="28"/>
          <w:szCs w:val="28"/>
        </w:rPr>
      </w:pPr>
      <w:r>
        <w:rPr>
          <w:rFonts w:ascii="Times New Roman" w:hAnsi="Times New Roman" w:eastAsia="方正仿宋_GBK"/>
          <w:sz w:val="28"/>
          <w:szCs w:val="28"/>
        </w:rPr>
        <w:t>受送达人联系方式：</w:t>
      </w:r>
      <w:r>
        <w:rPr>
          <w:rFonts w:ascii="Times New Roman" w:hAnsi="Times New Roman" w:eastAsia="方正仿宋_GBK"/>
          <w:sz w:val="28"/>
          <w:szCs w:val="28"/>
          <w:u w:val="single"/>
        </w:rPr>
        <w:t xml:space="preserve">                  </w:t>
      </w:r>
    </w:p>
    <w:p w14:paraId="7F6F200F">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ascii="Times New Roman" w:hAnsi="Times New Roman" w:eastAsia="方正仿宋_GBK"/>
          <w:sz w:val="28"/>
          <w:szCs w:val="28"/>
        </w:rPr>
      </w:pPr>
      <w:r>
        <w:rPr>
          <w:rFonts w:ascii="Times New Roman" w:hAnsi="Times New Roman" w:eastAsia="方正仿宋_GBK"/>
          <w:spacing w:val="144"/>
          <w:sz w:val="28"/>
          <w:szCs w:val="28"/>
        </w:rPr>
        <w:t>送达时间</w:t>
      </w:r>
      <w:r>
        <w:rPr>
          <w:rFonts w:ascii="Times New Roman" w:hAnsi="Times New Roman" w:eastAsia="方正仿宋_GBK"/>
          <w:sz w:val="28"/>
          <w:szCs w:val="28"/>
        </w:rPr>
        <w:t>：</w:t>
      </w:r>
      <w:r>
        <w:rPr>
          <w:rFonts w:ascii="Times New Roman" w:hAnsi="Times New Roman" w:eastAsia="方正仿宋_GBK"/>
          <w:sz w:val="28"/>
          <w:szCs w:val="28"/>
          <w:u w:val="single"/>
        </w:rPr>
        <w:t xml:space="preserve">                  </w:t>
      </w:r>
    </w:p>
    <w:p w14:paraId="0AD6630C">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r>
        <w:rPr>
          <w:rFonts w:hint="eastAsia" w:ascii="Times New Roman" w:hAnsi="Times New Roman" w:eastAsia="方正仿宋_GBK"/>
          <w:sz w:val="28"/>
          <w:szCs w:val="28"/>
        </w:rPr>
        <w:t>（</w:t>
      </w:r>
      <w:r>
        <w:rPr>
          <w:rFonts w:ascii="Times New Roman" w:hAnsi="Times New Roman" w:eastAsia="方正仿宋_GBK"/>
          <w:sz w:val="28"/>
          <w:szCs w:val="28"/>
        </w:rPr>
        <w:t>此件一式三份，分别由</w:t>
      </w:r>
      <w:r>
        <w:rPr>
          <w:rFonts w:hint="eastAsia" w:ascii="Times New Roman" w:hAnsi="Times New Roman" w:eastAsia="方正仿宋_GBK"/>
          <w:sz w:val="28"/>
          <w:szCs w:val="28"/>
        </w:rPr>
        <w:t>县数据</w:t>
      </w:r>
      <w:r>
        <w:rPr>
          <w:rFonts w:ascii="Times New Roman" w:hAnsi="Times New Roman" w:eastAsia="方正仿宋_GBK"/>
          <w:sz w:val="28"/>
          <w:szCs w:val="28"/>
        </w:rPr>
        <w:t>局、</w:t>
      </w:r>
      <w:r>
        <w:rPr>
          <w:rFonts w:hint="eastAsia" w:ascii="Times New Roman" w:hAnsi="Times New Roman" w:eastAsia="方正仿宋_GBK"/>
          <w:sz w:val="28"/>
          <w:szCs w:val="28"/>
        </w:rPr>
        <w:t>县</w:t>
      </w:r>
      <w:r>
        <w:rPr>
          <w:rFonts w:ascii="Times New Roman" w:hAnsi="Times New Roman" w:eastAsia="方正仿宋_GBK"/>
          <w:sz w:val="28"/>
          <w:szCs w:val="28"/>
        </w:rPr>
        <w:t>住建局、缴费义务人留存</w:t>
      </w:r>
      <w:r>
        <w:rPr>
          <w:rFonts w:hint="eastAsia" w:ascii="Times New Roman" w:hAnsi="Times New Roman" w:eastAsia="方正仿宋_GBK"/>
          <w:sz w:val="28"/>
          <w:szCs w:val="28"/>
        </w:rPr>
        <w:t>）</w:t>
      </w:r>
    </w:p>
    <w:p w14:paraId="0D9226C7">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sectPr>
          <w:pgSz w:w="11906" w:h="16838"/>
          <w:pgMar w:top="2098" w:right="1587" w:bottom="1984" w:left="1587" w:header="851" w:footer="1417" w:gutter="0"/>
          <w:pgNumType w:fmt="numberInDash"/>
          <w:cols w:space="720" w:num="1"/>
          <w:docGrid w:type="lines" w:linePitch="312" w:charSpace="0"/>
        </w:sectPr>
      </w:pPr>
    </w:p>
    <w:p w14:paraId="6298ECAF">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3C60E411">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60E7C8FE">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6613B5E5">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3AA01F7F">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0A2BA7EE">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5A3A8573">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5CA16536">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4D199852">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267F1AF3">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6ED27EA7">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7847CE20">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74906893">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09C451C7">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329AFE33">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1D3333C0">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0768FE3C">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0D566C24">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01AE3680">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1771CDC1">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04E23C9B">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155F5C54">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6ECFA284">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080B53F9">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5D4642CD">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sectPr>
          <w:footerReference r:id="rId5" w:type="default"/>
          <w:pgSz w:w="11906" w:h="16838"/>
          <w:pgMar w:top="2098" w:right="1587" w:bottom="1984" w:left="1587" w:header="851" w:footer="1417" w:gutter="0"/>
          <w:pgNumType w:fmt="numberInDash"/>
          <w:cols w:space="720" w:num="1"/>
          <w:docGrid w:type="lines" w:linePitch="312" w:charSpace="0"/>
        </w:sectPr>
      </w:pPr>
    </w:p>
    <w:p w14:paraId="3D6044B2">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5CD9633F">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1C690325">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309AC90A">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0B910A1B">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27DEADAA">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4759A83D">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2D3027B8">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6FD9C15C">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0E3C97A7">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0D1F5A09">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691EDD1E">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637D2E9A">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5DB0D6C8">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15C69C34">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1D4B3FD9">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76FD6DC9">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3653D312">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23672152">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744F0E33">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391BAF9D">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0294896B">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35A08059">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Times New Roman" w:hAnsi="Times New Roman" w:eastAsia="方正仿宋_GBK"/>
          <w:sz w:val="28"/>
          <w:szCs w:val="28"/>
        </w:rPr>
      </w:pPr>
    </w:p>
    <w:p w14:paraId="3232E36B">
      <w:pPr>
        <w:rPr>
          <w:rFonts w:hint="default" w:ascii="Times New Roman" w:hAnsi="Times New Roman" w:eastAsia="方正仿宋_GBK"/>
          <w:sz w:val="28"/>
          <w:szCs w:val="28"/>
          <w:lang w:val="en-US"/>
        </w:rPr>
      </w:pPr>
      <w:r>
        <w:rPr>
          <w:sz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635</wp:posOffset>
                </wp:positionV>
                <wp:extent cx="5530850" cy="0"/>
                <wp:effectExtent l="0" t="7620" r="0" b="8255"/>
                <wp:wrapNone/>
                <wp:docPr id="5" name="直接连接符 5"/>
                <wp:cNvGraphicFramePr/>
                <a:graphic xmlns:a="http://schemas.openxmlformats.org/drawingml/2006/main">
                  <a:graphicData uri="http://schemas.microsoft.com/office/word/2010/wordprocessingShape">
                    <wps:wsp>
                      <wps:cNvCnPr/>
                      <wps:spPr>
                        <a:xfrm>
                          <a:off x="0" y="0"/>
                          <a:ext cx="5530850" cy="0"/>
                        </a:xfrm>
                        <a:prstGeom prst="line">
                          <a:avLst/>
                        </a:prstGeom>
                        <a:ln w="158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05pt;margin-top:0.05pt;height:0pt;width:435.5pt;z-index:251660288;mso-width-relative:page;mso-height-relative:page;" filled="f" stroked="t" coordsize="21600,21600" o:gfxdata="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nJY7n0AAAAAIBAAAPAAAAAAAAAAEAIAAAACIA&#10;AABkcnMvZG93bnJldi54bWxQSwECFAAUAAAACACHTuJAYVyMQdgBAACbAwAADgAAAAAAAAABACAA&#10;AAAfAQAAZHJzL2Uyb0RvYy54bWxQSwUGAAAAAAYABgBZAQAAaQUAAAAA&#10;">
                <v:fill on="f" focussize="0,0"/>
                <v:stroke weight="1.25pt" color="#000000 [3213]" joinstyle="round"/>
                <v:imagedata o:title=""/>
                <o:lock v:ext="edit" aspectratio="f"/>
              </v:lin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381635</wp:posOffset>
                </wp:positionV>
                <wp:extent cx="5530850" cy="0"/>
                <wp:effectExtent l="0" t="7620" r="0" b="8255"/>
                <wp:wrapNone/>
                <wp:docPr id="4" name="直接连接符 4"/>
                <wp:cNvGraphicFramePr/>
                <a:graphic xmlns:a="http://schemas.openxmlformats.org/drawingml/2006/main">
                  <a:graphicData uri="http://schemas.microsoft.com/office/word/2010/wordprocessingShape">
                    <wps:wsp>
                      <wps:cNvCnPr/>
                      <wps:spPr>
                        <a:xfrm>
                          <a:off x="1008380" y="9327515"/>
                          <a:ext cx="5530850" cy="0"/>
                        </a:xfrm>
                        <a:prstGeom prst="line">
                          <a:avLst/>
                        </a:prstGeom>
                        <a:ln w="158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05pt;margin-top:30.05pt;height:0pt;width:435.5pt;z-index:251659264;mso-width-relative:page;mso-height-relative:page;" filled="f" stroked="t" coordsize="21600,21600" o:gfxdata="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DJYl9MAAAAG&#10;AQAADwAAAAAAAAABACAAAAAiAAAAZHJzL2Rvd25yZXYueG1sUEsBAhQAFAAAAAgAh07iQFoujazo&#10;AQAApwMAAA4AAAAAAAAAAQAgAAAAIgEAAGRycy9lMm9Eb2MueG1sUEsFBgAAAAAGAAYAWQEAAHwF&#10;AAAAAA==&#10;">
                <v:fill on="f" focussize="0,0"/>
                <v:stroke weight="1.25pt" color="#000000 [3213]" joinstyle="round"/>
                <v:imagedata o:title=""/>
                <o:lock v:ext="edit" aspectratio="f"/>
              </v:line>
            </w:pict>
          </mc:Fallback>
        </mc:AlternateContent>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rPr>
        <w:t>金湖县人民政府</w:t>
      </w:r>
      <w:r>
        <w:rPr>
          <w:rFonts w:hint="eastAsia" w:ascii="Times New Roman" w:hAnsi="Times New Roman" w:eastAsia="方正仿宋_GBK" w:cs="Times New Roman"/>
          <w:sz w:val="28"/>
          <w:szCs w:val="28"/>
          <w:lang w:val="en-US" w:eastAsia="zh-CN"/>
        </w:rPr>
        <w:t xml:space="preserve">办公室                  </w:t>
      </w:r>
      <w:r>
        <w:rPr>
          <w:rFonts w:hint="eastAsia" w:ascii="Times New Roman" w:hAnsi="Times New Roman" w:eastAsia="方正仿宋_GBK" w:cs="Times New Roman"/>
          <w:sz w:val="28"/>
          <w:szCs w:val="28"/>
        </w:rPr>
        <w:t>2026年5月</w:t>
      </w:r>
      <w:r>
        <w:rPr>
          <w:rFonts w:hint="eastAsia" w:ascii="Times New Roman" w:hAnsi="Times New Roman" w:eastAsia="方正仿宋_GBK" w:cs="Times New Roman"/>
          <w:sz w:val="28"/>
          <w:szCs w:val="28"/>
          <w:lang w:val="en-US" w:eastAsia="zh-CN"/>
        </w:rPr>
        <w:t>26</w:t>
      </w:r>
      <w:r>
        <w:rPr>
          <w:rFonts w:hint="eastAsia"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val="en-US" w:eastAsia="zh-CN"/>
        </w:rPr>
        <w:t xml:space="preserve">印发  </w:t>
      </w:r>
    </w:p>
    <w:sectPr>
      <w:footerReference r:id="rId6" w:type="default"/>
      <w:pgSz w:w="11906" w:h="16838"/>
      <w:pgMar w:top="2098" w:right="1587" w:bottom="1984" w:left="1587"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98B07E-7C75-4D4C-91DF-C3DD8BD400B8}"/>
  </w:font>
  <w:font w:name="黑体">
    <w:panose1 w:val="02010609060101010101"/>
    <w:charset w:val="86"/>
    <w:family w:val="auto"/>
    <w:pitch w:val="default"/>
    <w:sig w:usb0="800002BF" w:usb1="38CF7CFA" w:usb2="00000016" w:usb3="00000000" w:csb0="00040001" w:csb1="00000000"/>
    <w:embedRegular r:id="rId2" w:fontKey="{F9E3AA5C-6FCB-4F0B-BA28-2AE48A4EC4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85BBA555-1415-4B53-9272-063BCB5D15F7}"/>
  </w:font>
  <w:font w:name="仿宋">
    <w:panose1 w:val="02010609060101010101"/>
    <w:charset w:val="86"/>
    <w:family w:val="modern"/>
    <w:pitch w:val="default"/>
    <w:sig w:usb0="800002BF" w:usb1="38CF7CFA" w:usb2="00000016" w:usb3="00000000" w:csb0="00040001" w:csb1="00000000"/>
    <w:embedRegular r:id="rId4" w:fontKey="{3C54EFCC-C6AE-4A07-9B21-A6EE26598069}"/>
  </w:font>
  <w:font w:name="方正小标宋简体">
    <w:panose1 w:val="03000509000000000000"/>
    <w:charset w:val="86"/>
    <w:family w:val="script"/>
    <w:pitch w:val="default"/>
    <w:sig w:usb0="00000001" w:usb1="080E0000" w:usb2="00000000" w:usb3="00000000" w:csb0="00040000" w:csb1="00000000"/>
    <w:embedRegular r:id="rId5" w:fontKey="{5C0CCE1D-74BD-4FEF-A648-749A213B0BCC}"/>
  </w:font>
  <w:font w:name="方正小标宋_GBK">
    <w:panose1 w:val="03000509000000000000"/>
    <w:charset w:val="86"/>
    <w:family w:val="script"/>
    <w:pitch w:val="default"/>
    <w:sig w:usb0="00000001" w:usb1="080E0000" w:usb2="00000000" w:usb3="00000000" w:csb0="00040000" w:csb1="00000000"/>
    <w:embedRegular r:id="rId6" w:fontKey="{CD656E35-B03F-400D-802F-81F16984FB9B}"/>
  </w:font>
  <w:font w:name="方正仿宋_GBK">
    <w:panose1 w:val="03000509000000000000"/>
    <w:charset w:val="86"/>
    <w:family w:val="script"/>
    <w:pitch w:val="default"/>
    <w:sig w:usb0="00000001" w:usb1="080E0000" w:usb2="00000000" w:usb3="00000000" w:csb0="00040000" w:csb1="00000000"/>
    <w:embedRegular r:id="rId7" w:fontKey="{4F39E7A9-D138-47D9-89FD-29C299BA717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C036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CA67D">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4CA67D">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21E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3FBF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9B0E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5E"/>
    <w:rsid w:val="00010755"/>
    <w:rsid w:val="00026C51"/>
    <w:rsid w:val="00071869"/>
    <w:rsid w:val="00167B5E"/>
    <w:rsid w:val="00204369"/>
    <w:rsid w:val="002F5FBF"/>
    <w:rsid w:val="002F6A28"/>
    <w:rsid w:val="0049595C"/>
    <w:rsid w:val="005A0DAB"/>
    <w:rsid w:val="00640A15"/>
    <w:rsid w:val="0064674E"/>
    <w:rsid w:val="00650372"/>
    <w:rsid w:val="007022C7"/>
    <w:rsid w:val="007E73A9"/>
    <w:rsid w:val="00950197"/>
    <w:rsid w:val="009C34AF"/>
    <w:rsid w:val="00A842AE"/>
    <w:rsid w:val="00B736C7"/>
    <w:rsid w:val="00BF655F"/>
    <w:rsid w:val="00C0053F"/>
    <w:rsid w:val="00CB3D34"/>
    <w:rsid w:val="00CC1D19"/>
    <w:rsid w:val="00CD2074"/>
    <w:rsid w:val="00CF7AA5"/>
    <w:rsid w:val="034C3A19"/>
    <w:rsid w:val="039B09E5"/>
    <w:rsid w:val="047729A3"/>
    <w:rsid w:val="08B557FD"/>
    <w:rsid w:val="09D06B16"/>
    <w:rsid w:val="0A64146A"/>
    <w:rsid w:val="0F881128"/>
    <w:rsid w:val="10655CE0"/>
    <w:rsid w:val="10F615C9"/>
    <w:rsid w:val="11D70154"/>
    <w:rsid w:val="15455A86"/>
    <w:rsid w:val="189F6908"/>
    <w:rsid w:val="19BA5F53"/>
    <w:rsid w:val="1A134258"/>
    <w:rsid w:val="1D2309B7"/>
    <w:rsid w:val="232E5AD9"/>
    <w:rsid w:val="260716B0"/>
    <w:rsid w:val="26C44E11"/>
    <w:rsid w:val="28771933"/>
    <w:rsid w:val="29283114"/>
    <w:rsid w:val="29E928DF"/>
    <w:rsid w:val="2C891183"/>
    <w:rsid w:val="2CBA3CFD"/>
    <w:rsid w:val="2D223C99"/>
    <w:rsid w:val="2F3623E1"/>
    <w:rsid w:val="2FAF0D27"/>
    <w:rsid w:val="33272FDB"/>
    <w:rsid w:val="35912D88"/>
    <w:rsid w:val="382F46A1"/>
    <w:rsid w:val="39303A7B"/>
    <w:rsid w:val="3A00424A"/>
    <w:rsid w:val="3A546240"/>
    <w:rsid w:val="3ADF03A2"/>
    <w:rsid w:val="3BBB27CC"/>
    <w:rsid w:val="3BEC49AE"/>
    <w:rsid w:val="3C864371"/>
    <w:rsid w:val="3CFD21C8"/>
    <w:rsid w:val="3EC00E65"/>
    <w:rsid w:val="3ECF6099"/>
    <w:rsid w:val="40C432AB"/>
    <w:rsid w:val="42A21C3A"/>
    <w:rsid w:val="46080C3E"/>
    <w:rsid w:val="4D4321A0"/>
    <w:rsid w:val="4DF542F3"/>
    <w:rsid w:val="50D139D7"/>
    <w:rsid w:val="50F81506"/>
    <w:rsid w:val="526711CA"/>
    <w:rsid w:val="53BA5356"/>
    <w:rsid w:val="54A56E5E"/>
    <w:rsid w:val="57C30630"/>
    <w:rsid w:val="590B0619"/>
    <w:rsid w:val="5DC066B6"/>
    <w:rsid w:val="61B474EC"/>
    <w:rsid w:val="648B52EF"/>
    <w:rsid w:val="65293CF8"/>
    <w:rsid w:val="660118BB"/>
    <w:rsid w:val="665B137A"/>
    <w:rsid w:val="667C0DBA"/>
    <w:rsid w:val="6852376A"/>
    <w:rsid w:val="69270753"/>
    <w:rsid w:val="6A177677"/>
    <w:rsid w:val="6DCD5EEF"/>
    <w:rsid w:val="6DE7586C"/>
    <w:rsid w:val="6F1B6CEA"/>
    <w:rsid w:val="703E1036"/>
    <w:rsid w:val="70447E3C"/>
    <w:rsid w:val="71567901"/>
    <w:rsid w:val="744D69FB"/>
    <w:rsid w:val="760A306F"/>
    <w:rsid w:val="77286A7D"/>
    <w:rsid w:val="77D452EF"/>
    <w:rsid w:val="7A20336A"/>
    <w:rsid w:val="7AA54114"/>
    <w:rsid w:val="7DF53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customStyle="1" w:styleId="8">
    <w:name w:val="页眉 Char"/>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2245</Words>
  <Characters>2297</Characters>
  <Lines>16</Lines>
  <Paragraphs>4</Paragraphs>
  <TotalTime>65</TotalTime>
  <ScaleCrop>false</ScaleCrop>
  <LinksUpToDate>false</LinksUpToDate>
  <CharactersWithSpaces>2538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2025-07-23T03:01:00Z</dcterms:created>
  <dc:creator>SJJ</dc:creator>
  <cp:lastModifiedBy>WPS_1754043634</cp:lastModifiedBy>
  <cp:lastPrinted>2026-05-20T01:45:00Z</cp:lastPrinted>
  <dcterms:modified xsi:type="dcterms:W3CDTF">2026-05-28T06:08:23Z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eyJoZGlkIjoiZWFlNGM4MjFhMDliMTBkYjNkMjU2Mzg2ZjgyOTRhY2QiLCJ1c2VySWQiOiIxNzI1MTI2NjcwIn0=</vt:lpwstr>
  </property>
  <property fmtid="{D5CDD505-2E9C-101B-9397-08002B2CF9AE}" pid="4" name="ICV">
    <vt:lpwstr>740B1E2433A649CA887DA267E557BFF6_13</vt:lpwstr>
  </property>
</Properties>
</file>