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84895F">
      <w:pPr>
        <w:widowControl/>
        <w:overflowPunct w:val="0"/>
        <w:autoSpaceDE w:val="0"/>
        <w:autoSpaceDN w:val="0"/>
        <w:spacing w:line="1400" w:lineRule="exact"/>
        <w:jc w:val="distribute"/>
        <w:rPr>
          <w:rFonts w:ascii="Times New Roman" w:hAnsi="Times New Roman" w:eastAsia="方正小标宋简体" w:cs="Times New Roman"/>
          <w:bCs/>
          <w:snapToGrid w:val="0"/>
          <w:color w:val="FF0000"/>
          <w:w w:val="70"/>
          <w:kern w:val="0"/>
          <w:sz w:val="112"/>
          <w:szCs w:val="112"/>
        </w:rPr>
      </w:pPr>
      <w:bookmarkStart w:id="71" w:name="_GoBack"/>
      <w:bookmarkEnd w:id="71"/>
    </w:p>
    <w:p w14:paraId="7896E8C3">
      <w:pPr>
        <w:widowControl/>
        <w:overflowPunct w:val="0"/>
        <w:autoSpaceDE w:val="0"/>
        <w:autoSpaceDN w:val="0"/>
        <w:spacing w:line="1400" w:lineRule="exact"/>
        <w:jc w:val="distribute"/>
        <w:rPr>
          <w:rFonts w:ascii="Times New Roman" w:hAnsi="Times New Roman" w:eastAsia="方正小标宋简体" w:cs="Times New Roman"/>
          <w:bCs/>
          <w:snapToGrid w:val="0"/>
          <w:color w:val="FF0000"/>
          <w:w w:val="70"/>
          <w:kern w:val="0"/>
          <w:sz w:val="112"/>
          <w:szCs w:val="112"/>
        </w:rPr>
      </w:pPr>
    </w:p>
    <w:p w14:paraId="506C665E">
      <w:pPr>
        <w:keepNext w:val="0"/>
        <w:keepLines w:val="0"/>
        <w:pageBreakBefore w:val="0"/>
        <w:widowControl/>
        <w:kinsoku/>
        <w:wordWrap/>
        <w:overflowPunct w:val="0"/>
        <w:topLinePunct w:val="0"/>
        <w:autoSpaceDE w:val="0"/>
        <w:autoSpaceDN w:val="0"/>
        <w:bidi w:val="0"/>
        <w:adjustRightInd/>
        <w:snapToGrid/>
        <w:spacing w:line="40" w:lineRule="exact"/>
        <w:jc w:val="center"/>
        <w:textAlignment w:val="auto"/>
        <w:rPr>
          <w:rFonts w:ascii="Times New Roman" w:hAnsi="Times New Roman" w:eastAsia="方正楷体_GBK" w:cs="Times New Roman"/>
          <w:szCs w:val="32"/>
        </w:rPr>
      </w:pPr>
    </w:p>
    <w:p w14:paraId="69A002C8">
      <w:pPr>
        <w:widowControl/>
        <w:overflowPunct w:val="0"/>
        <w:autoSpaceDE w:val="0"/>
        <w:autoSpaceDN w:val="0"/>
        <w:spacing w:line="440" w:lineRule="exact"/>
        <w:jc w:val="center"/>
        <w:rPr>
          <w:rFonts w:ascii="Times New Roman" w:hAnsi="Times New Roman" w:eastAsia="仿宋_GB2312" w:cs="华文中宋"/>
          <w:sz w:val="44"/>
          <w:szCs w:val="44"/>
        </w:rPr>
      </w:pPr>
      <w:r>
        <w:rPr>
          <w:rFonts w:ascii="Times New Roman" w:hAnsi="Times New Roman" w:eastAsia="仿宋_GB2312" w:cs="Times New Roman"/>
          <w:szCs w:val="32"/>
        </w:rPr>
        <w:t>金政</w:t>
      </w:r>
      <w:r>
        <w:rPr>
          <w:rFonts w:hint="eastAsia" w:ascii="Times New Roman" w:hAnsi="Times New Roman" w:eastAsia="仿宋_GB2312" w:cs="Times New Roman"/>
          <w:szCs w:val="32"/>
        </w:rPr>
        <w:t>发</w:t>
      </w:r>
      <w:r>
        <w:rPr>
          <w:rFonts w:ascii="Times New Roman" w:hAnsi="Times New Roman" w:eastAsia="仿宋_GB2312" w:cs="Times New Roman"/>
          <w:szCs w:val="32"/>
        </w:rPr>
        <w:t>〔202</w:t>
      </w:r>
      <w:r>
        <w:rPr>
          <w:rFonts w:hint="eastAsia" w:ascii="Times New Roman" w:hAnsi="Times New Roman" w:eastAsia="仿宋_GB2312" w:cs="Times New Roman"/>
          <w:szCs w:val="32"/>
        </w:rPr>
        <w:t>6</w:t>
      </w:r>
      <w:r>
        <w:rPr>
          <w:rFonts w:ascii="Times New Roman" w:hAnsi="Times New Roman" w:eastAsia="仿宋_GB2312" w:cs="Times New Roman"/>
          <w:szCs w:val="32"/>
        </w:rPr>
        <w:t>〕</w:t>
      </w:r>
      <w:r>
        <w:rPr>
          <w:rFonts w:hint="eastAsia" w:ascii="Times New Roman" w:hAnsi="Times New Roman" w:eastAsia="仿宋_GB2312" w:cs="Times New Roman"/>
          <w:szCs w:val="32"/>
        </w:rPr>
        <w:t>35</w:t>
      </w:r>
      <w:r>
        <w:rPr>
          <w:rFonts w:ascii="Times New Roman" w:hAnsi="Times New Roman" w:eastAsia="仿宋_GB2312" w:cs="Times New Roman"/>
          <w:szCs w:val="32"/>
        </w:rPr>
        <w:t>号</w:t>
      </w:r>
    </w:p>
    <w:p w14:paraId="3A979C4E">
      <w:pPr>
        <w:overflowPunct w:val="0"/>
        <w:autoSpaceDE w:val="0"/>
        <w:autoSpaceDN w:val="0"/>
        <w:spacing w:line="640" w:lineRule="exact"/>
        <w:jc w:val="center"/>
        <w:rPr>
          <w:rFonts w:ascii="Times New Roman" w:hAnsi="Times New Roman" w:eastAsia="方正小标宋简体" w:cs="Times New Roman"/>
          <w:sz w:val="44"/>
          <w:szCs w:val="44"/>
        </w:rPr>
      </w:pPr>
    </w:p>
    <w:p w14:paraId="65543A85">
      <w:pPr>
        <w:keepNext w:val="0"/>
        <w:keepLines w:val="0"/>
        <w:pageBreakBefore w:val="0"/>
        <w:widowControl w:val="0"/>
        <w:kinsoku/>
        <w:wordWrap/>
        <w:overflowPunct w:val="0"/>
        <w:topLinePunct w:val="0"/>
        <w:autoSpaceDE w:val="0"/>
        <w:autoSpaceDN w:val="0"/>
        <w:bidi w:val="0"/>
        <w:adjustRightInd/>
        <w:snapToGrid/>
        <w:spacing w:line="1040" w:lineRule="exact"/>
        <w:jc w:val="center"/>
        <w:textAlignment w:val="auto"/>
        <w:rPr>
          <w:rFonts w:ascii="Times New Roman" w:hAnsi="Times New Roman" w:eastAsia="方正小标宋简体" w:cs="Times New Roman"/>
          <w:sz w:val="44"/>
          <w:szCs w:val="44"/>
        </w:rPr>
      </w:pPr>
    </w:p>
    <w:p w14:paraId="6B55E684">
      <w:pPr>
        <w:overflowPunct w:val="0"/>
        <w:autoSpaceDE w:val="0"/>
        <w:autoSpaceDN w:val="0"/>
        <w:spacing w:line="64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县政府关于印发</w:t>
      </w:r>
    </w:p>
    <w:p w14:paraId="59794CDD">
      <w:pPr>
        <w:overflowPunct w:val="0"/>
        <w:autoSpaceDE w:val="0"/>
        <w:autoSpaceDN w:val="0"/>
        <w:spacing w:line="64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金湖县碳达峰实施方案的通知</w:t>
      </w:r>
    </w:p>
    <w:p w14:paraId="1D869E51">
      <w:pPr>
        <w:overflowPunct w:val="0"/>
        <w:autoSpaceDE w:val="0"/>
        <w:autoSpaceDN w:val="0"/>
        <w:spacing w:line="640" w:lineRule="exact"/>
        <w:jc w:val="center"/>
        <w:rPr>
          <w:rFonts w:ascii="Times New Roman" w:hAnsi="Times New Roman" w:eastAsia="仿宋_GB2312" w:cs="Times New Roman"/>
          <w:szCs w:val="32"/>
        </w:rPr>
      </w:pPr>
    </w:p>
    <w:p w14:paraId="50744FB5">
      <w:pPr>
        <w:overflowPunct w:val="0"/>
        <w:autoSpaceDE w:val="0"/>
        <w:autoSpaceDN w:val="0"/>
        <w:spacing w:line="560" w:lineRule="exact"/>
        <w:rPr>
          <w:rFonts w:ascii="Times New Roman" w:hAnsi="Times New Roman" w:eastAsia="仿宋_GB2312" w:cs="仿宋"/>
          <w:szCs w:val="32"/>
        </w:rPr>
      </w:pPr>
      <w:r>
        <w:rPr>
          <w:rFonts w:hint="eastAsia" w:ascii="Times New Roman" w:hAnsi="Times New Roman" w:eastAsia="仿宋_GB2312" w:cs="仿宋"/>
          <w:szCs w:val="32"/>
        </w:rPr>
        <w:t>各镇人民政府、街道办事处</w:t>
      </w:r>
      <w:r>
        <w:rPr>
          <w:rFonts w:hint="eastAsia" w:ascii="Times New Roman" w:hAnsi="Times New Roman" w:eastAsia="仿宋_GB2312" w:cs="仿宋_GB2312"/>
          <w:szCs w:val="32"/>
        </w:rPr>
        <w:t>，县各委办局，县各直属单位：</w:t>
      </w:r>
    </w:p>
    <w:p w14:paraId="1922BB22">
      <w:pPr>
        <w:overflowPunct w:val="0"/>
        <w:autoSpaceDE w:val="0"/>
        <w:autoSpaceDN w:val="0"/>
        <w:spacing w:line="560" w:lineRule="exact"/>
        <w:ind w:firstLine="640" w:firstLineChars="200"/>
        <w:rPr>
          <w:rFonts w:ascii="Times New Roman" w:hAnsi="Times New Roman" w:eastAsia="仿宋_GB2312" w:cs="仿宋"/>
          <w:szCs w:val="32"/>
        </w:rPr>
      </w:pPr>
      <w:r>
        <w:rPr>
          <w:rFonts w:hint="eastAsia" w:ascii="Times New Roman" w:hAnsi="Times New Roman" w:eastAsia="仿宋_GB2312" w:cs="Times New Roman"/>
          <w:szCs w:val="24"/>
        </w:rPr>
        <w:t>《金湖县碳达峰实施方案》已经县委十三届八十二次常委会（扩大）会议和县政府十五届36次常务会议审议通过，现印发给你们，请认真贯彻落实。</w:t>
      </w:r>
    </w:p>
    <w:p w14:paraId="6471BBCD">
      <w:pPr>
        <w:overflowPunct w:val="0"/>
        <w:autoSpaceDE w:val="0"/>
        <w:autoSpaceDN w:val="0"/>
        <w:spacing w:line="560" w:lineRule="exact"/>
        <w:ind w:right="800" w:rightChars="250" w:firstLine="640" w:firstLineChars="200"/>
        <w:jc w:val="right"/>
        <w:rPr>
          <w:rFonts w:ascii="Times New Roman" w:hAnsi="Times New Roman" w:eastAsia="仿宋_GB2312" w:cs="仿宋"/>
          <w:szCs w:val="32"/>
        </w:rPr>
      </w:pPr>
    </w:p>
    <w:p w14:paraId="7A3E8701">
      <w:pPr>
        <w:overflowPunct w:val="0"/>
        <w:autoSpaceDE w:val="0"/>
        <w:autoSpaceDN w:val="0"/>
        <w:spacing w:line="560" w:lineRule="exact"/>
        <w:ind w:right="800" w:rightChars="250" w:firstLine="640" w:firstLineChars="200"/>
        <w:jc w:val="right"/>
        <w:rPr>
          <w:rFonts w:ascii="Times New Roman" w:hAnsi="Times New Roman" w:eastAsia="仿宋_GB2312" w:cs="仿宋"/>
          <w:szCs w:val="32"/>
        </w:rPr>
      </w:pPr>
    </w:p>
    <w:p w14:paraId="4BCE21E8">
      <w:pPr>
        <w:tabs>
          <w:tab w:val="left" w:pos="7797"/>
        </w:tabs>
        <w:overflowPunct w:val="0"/>
        <w:autoSpaceDE w:val="0"/>
        <w:autoSpaceDN w:val="0"/>
        <w:snapToGrid w:val="0"/>
        <w:spacing w:line="560" w:lineRule="exact"/>
        <w:ind w:right="1187" w:rightChars="371" w:firstLine="640" w:firstLineChars="200"/>
        <w:jc w:val="right"/>
        <w:rPr>
          <w:rFonts w:ascii="Times New Roman" w:hAnsi="Times New Roman" w:eastAsia="仿宋_GB2312" w:cs="仿宋"/>
          <w:szCs w:val="32"/>
        </w:rPr>
      </w:pPr>
      <w:r>
        <w:rPr>
          <w:rFonts w:hint="eastAsia" w:ascii="Times New Roman" w:hAnsi="Times New Roman" w:eastAsia="仿宋_GB2312" w:cs="仿宋"/>
          <w:szCs w:val="32"/>
        </w:rPr>
        <w:t>金湖县人民政府</w:t>
      </w:r>
    </w:p>
    <w:p w14:paraId="3DF79487">
      <w:pPr>
        <w:overflowPunct w:val="0"/>
        <w:autoSpaceDE w:val="0"/>
        <w:autoSpaceDN w:val="0"/>
        <w:snapToGrid w:val="0"/>
        <w:spacing w:line="560" w:lineRule="exact"/>
        <w:ind w:right="1280" w:rightChars="400" w:firstLine="640" w:firstLineChars="200"/>
        <w:jc w:val="right"/>
        <w:rPr>
          <w:rFonts w:ascii="Times New Roman" w:hAnsi="Times New Roman" w:eastAsia="仿宋_GB2312" w:cs="仿宋"/>
          <w:szCs w:val="32"/>
        </w:rPr>
      </w:pPr>
      <w:r>
        <w:rPr>
          <w:rFonts w:hint="eastAsia" w:ascii="Times New Roman" w:hAnsi="Times New Roman" w:eastAsia="仿宋_GB2312" w:cs="仿宋"/>
          <w:szCs w:val="32"/>
        </w:rPr>
        <w:t>2026年7月1日</w:t>
      </w:r>
    </w:p>
    <w:p w14:paraId="5E09D150">
      <w:pPr>
        <w:overflowPunct w:val="0"/>
        <w:autoSpaceDE w:val="0"/>
        <w:autoSpaceDN w:val="0"/>
        <w:spacing w:line="560" w:lineRule="exact"/>
        <w:ind w:right="800" w:rightChars="250" w:firstLine="640" w:firstLineChars="200"/>
        <w:jc w:val="right"/>
        <w:rPr>
          <w:rFonts w:ascii="Times New Roman" w:hAnsi="Times New Roman" w:eastAsia="仿宋_GB2312" w:cs="仿宋"/>
          <w:szCs w:val="32"/>
        </w:rPr>
      </w:pPr>
    </w:p>
    <w:p w14:paraId="2984E95D">
      <w:pPr>
        <w:widowControl/>
        <w:jc w:val="left"/>
        <w:rPr>
          <w:rFonts w:ascii="Times New Roman" w:hAnsi="Times New Roman" w:eastAsia="方正小标宋_GBK" w:cs="Times New Roman"/>
          <w:kern w:val="0"/>
          <w:sz w:val="48"/>
          <w:szCs w:val="48"/>
        </w:rPr>
      </w:pPr>
      <w:r>
        <w:rPr>
          <w:rFonts w:ascii="Times New Roman" w:hAnsi="Times New Roman" w:eastAsia="方正小标宋_GBK" w:cs="Times New Roman"/>
          <w:kern w:val="0"/>
          <w:sz w:val="48"/>
          <w:szCs w:val="48"/>
        </w:rPr>
        <w:br w:type="page"/>
      </w:r>
    </w:p>
    <w:p w14:paraId="5B8C352C">
      <w:pPr>
        <w:overflowPunct w:val="0"/>
        <w:autoSpaceDE w:val="0"/>
        <w:autoSpaceDN w:val="0"/>
        <w:adjustRightInd w:val="0"/>
        <w:snapToGrid w:val="0"/>
        <w:spacing w:line="640" w:lineRule="exact"/>
        <w:jc w:val="center"/>
        <w:rPr>
          <w:rFonts w:ascii="Times New Roman" w:hAnsi="Times New Roman" w:eastAsia="方正小标宋_GBK" w:cs="Times New Roman"/>
          <w:kern w:val="0"/>
          <w:sz w:val="48"/>
          <w:szCs w:val="48"/>
        </w:rPr>
      </w:pPr>
      <w:r>
        <w:rPr>
          <w:rFonts w:ascii="Times New Roman" w:hAnsi="Times New Roman" w:eastAsia="方正小标宋_GBK" w:cs="Times New Roman"/>
          <w:kern w:val="0"/>
          <w:sz w:val="48"/>
          <w:szCs w:val="48"/>
        </w:rPr>
        <w:t>金湖县碳达峰</w:t>
      </w:r>
      <w:r>
        <w:rPr>
          <w:rFonts w:hint="eastAsia" w:ascii="Times New Roman" w:hAnsi="Times New Roman" w:eastAsia="方正小标宋_GBK" w:cs="Times New Roman"/>
          <w:kern w:val="0"/>
          <w:sz w:val="48"/>
          <w:szCs w:val="48"/>
        </w:rPr>
        <w:t>实施</w:t>
      </w:r>
      <w:r>
        <w:rPr>
          <w:rFonts w:ascii="Times New Roman" w:hAnsi="Times New Roman" w:eastAsia="方正小标宋_GBK" w:cs="Times New Roman"/>
          <w:kern w:val="0"/>
          <w:sz w:val="48"/>
          <w:szCs w:val="48"/>
        </w:rPr>
        <w:t>方案</w:t>
      </w:r>
    </w:p>
    <w:p w14:paraId="39B64C5B">
      <w:pPr>
        <w:overflowPunct w:val="0"/>
        <w:autoSpaceDE w:val="0"/>
        <w:autoSpaceDN w:val="0"/>
        <w:adjustRightInd w:val="0"/>
        <w:snapToGrid w:val="0"/>
        <w:spacing w:line="560" w:lineRule="exact"/>
        <w:jc w:val="center"/>
        <w:rPr>
          <w:rFonts w:ascii="Times New Roman" w:hAnsi="Times New Roman" w:eastAsia="方正小标宋_GBK" w:cs="Times New Roman"/>
          <w:kern w:val="0"/>
          <w:sz w:val="48"/>
          <w:szCs w:val="48"/>
        </w:rPr>
      </w:pPr>
    </w:p>
    <w:p w14:paraId="7CEF3EA2">
      <w:pPr>
        <w:overflowPunct w:val="0"/>
        <w:autoSpaceDE w:val="0"/>
        <w:autoSpaceDN w:val="0"/>
        <w:spacing w:line="560" w:lineRule="exact"/>
        <w:ind w:firstLine="640" w:firstLineChars="200"/>
        <w:rPr>
          <w:rFonts w:ascii="Times New Roman" w:hAnsi="Times New Roman" w:eastAsia="仿宋_GB2312" w:cs="Times New Roman"/>
          <w:color w:val="000000" w:themeColor="text1"/>
          <w:kern w:val="0"/>
          <w:szCs w:val="32"/>
          <w14:textFill>
            <w14:solidFill>
              <w14:schemeClr w14:val="tx1"/>
            </w14:solidFill>
          </w14:textFill>
        </w:rPr>
      </w:pPr>
      <w:r>
        <w:rPr>
          <w:rFonts w:hint="eastAsia" w:ascii="Times New Roman" w:hAnsi="Times New Roman" w:eastAsia="仿宋_GB2312" w:cs="Times New Roman"/>
          <w:color w:val="000000" w:themeColor="text1"/>
          <w:kern w:val="0"/>
          <w:szCs w:val="32"/>
          <w14:textFill>
            <w14:solidFill>
              <w14:schemeClr w14:val="tx1"/>
            </w14:solidFill>
          </w14:textFill>
        </w:rPr>
        <w:t>为深入贯彻党中央、国务院和省委、省政府及市委、市政府关于碳达峰碳中和重大战略决策，积极稳妥推进碳达峰工作，根据《淮安市碳达峰实施方案》，制定本方案。</w:t>
      </w:r>
    </w:p>
    <w:p w14:paraId="4297A47F">
      <w:pPr>
        <w:pStyle w:val="55"/>
        <w:rPr>
          <w:kern w:val="0"/>
        </w:rPr>
      </w:pPr>
      <w:bookmarkStart w:id="0" w:name="_Toc72271642"/>
      <w:bookmarkStart w:id="1" w:name="_Toc90252729"/>
      <w:bookmarkStart w:id="2" w:name="_Toc112686276"/>
      <w:r>
        <w:rPr>
          <w:kern w:val="0"/>
        </w:rPr>
        <w:t>一</w:t>
      </w:r>
      <w:bookmarkEnd w:id="0"/>
      <w:r>
        <w:rPr>
          <w:kern w:val="0"/>
        </w:rPr>
        <w:t>、总体要求</w:t>
      </w:r>
      <w:bookmarkEnd w:id="1"/>
      <w:bookmarkEnd w:id="2"/>
    </w:p>
    <w:p w14:paraId="55E64F75">
      <w:pPr>
        <w:pStyle w:val="52"/>
        <w:overflowPunct w:val="0"/>
        <w:autoSpaceDE w:val="0"/>
        <w:autoSpaceDN w:val="0"/>
        <w:spacing w:line="560" w:lineRule="exact"/>
        <w:ind w:firstLine="640"/>
        <w:outlineLvl w:val="1"/>
        <w:rPr>
          <w:rFonts w:ascii="Times New Roman"/>
          <w:b w:val="0"/>
          <w:kern w:val="0"/>
        </w:rPr>
      </w:pPr>
      <w:r>
        <w:rPr>
          <w:rFonts w:hint="eastAsia" w:ascii="Times New Roman"/>
          <w:b w:val="0"/>
          <w:kern w:val="0"/>
        </w:rPr>
        <w:t>（一）指导思想</w:t>
      </w:r>
    </w:p>
    <w:p w14:paraId="4E8E6411">
      <w:pPr>
        <w:overflowPunct w:val="0"/>
        <w:autoSpaceDE w:val="0"/>
        <w:autoSpaceDN w:val="0"/>
        <w:spacing w:line="560" w:lineRule="exact"/>
        <w:ind w:firstLine="640" w:firstLineChars="200"/>
        <w:rPr>
          <w:rFonts w:ascii="Times New Roman" w:hAnsi="Times New Roman" w:eastAsia="仿宋_GB2312" w:cs="Times New Roman"/>
          <w:color w:val="000000" w:themeColor="text1"/>
          <w:kern w:val="0"/>
          <w:szCs w:val="32"/>
          <w14:textFill>
            <w14:solidFill>
              <w14:schemeClr w14:val="tx1"/>
            </w14:solidFill>
          </w14:textFill>
        </w:rPr>
      </w:pPr>
      <w:r>
        <w:rPr>
          <w:rFonts w:hint="eastAsia" w:ascii="Times New Roman" w:hAnsi="Times New Roman" w:eastAsia="仿宋_GB2312" w:cs="Times New Roman"/>
          <w:color w:val="000000" w:themeColor="text1"/>
          <w:kern w:val="0"/>
          <w:szCs w:val="32"/>
          <w14:textFill>
            <w14:solidFill>
              <w14:schemeClr w14:val="tx1"/>
            </w14:solidFill>
          </w14:textFill>
        </w:rPr>
        <w:t>坚持以习近平新时代中国特色社会主义思想为指导，全面贯彻党的二十大和二十届历次全会精神，深入贯彻习近平生态文明思想和习近平总书记对江苏工作的重要指示精神，立足新发展阶段，完整、准确、全面贯彻新发展理念，坚决落实国家、省、市关于碳达峰碳中和的重大战略决策，处理好发展和减排、整体和局部、短期和中长期、政府和市场的关系，切实把碳达峰碳中和纳入经济社会发展全局。以</w:t>
      </w:r>
      <w:r>
        <w:rPr>
          <w:rFonts w:ascii="Times New Roman" w:hAnsi="Times New Roman" w:eastAsia="仿宋_GB2312" w:cs="Times New Roman"/>
          <w:color w:val="000000" w:themeColor="text1"/>
          <w:kern w:val="0"/>
          <w:szCs w:val="32"/>
          <w14:textFill>
            <w14:solidFill>
              <w14:schemeClr w14:val="tx1"/>
            </w14:solidFill>
          </w14:textFill>
        </w:rPr>
        <w:t>绿色低碳发展</w:t>
      </w:r>
      <w:r>
        <w:rPr>
          <w:rFonts w:hint="eastAsia" w:ascii="Times New Roman" w:hAnsi="Times New Roman" w:eastAsia="仿宋_GB2312" w:cs="Times New Roman"/>
          <w:color w:val="000000" w:themeColor="text1"/>
          <w:kern w:val="0"/>
          <w:szCs w:val="32"/>
          <w14:textFill>
            <w14:solidFill>
              <w14:schemeClr w14:val="tx1"/>
            </w14:solidFill>
          </w14:textFill>
        </w:rPr>
        <w:t>为关键，以改革创新为根本动力，锚定“长三角智造金谷、现代化水韵湖城、新时代荷美田园”三大定位</w:t>
      </w:r>
      <w:r>
        <w:rPr>
          <w:rFonts w:ascii="Times New Roman" w:hAnsi="Times New Roman" w:eastAsia="仿宋_GB2312" w:cs="Times New Roman"/>
          <w:color w:val="000000" w:themeColor="text1"/>
          <w:kern w:val="0"/>
          <w:szCs w:val="32"/>
          <w14:textFill>
            <w14:solidFill>
              <w14:schemeClr w14:val="tx1"/>
            </w14:solidFill>
          </w14:textFill>
        </w:rPr>
        <w:t>，紧扣</w:t>
      </w:r>
      <w:r>
        <w:rPr>
          <w:rFonts w:hint="eastAsia" w:ascii="Times New Roman" w:hAnsi="Times New Roman" w:eastAsia="仿宋_GB2312" w:cs="Times New Roman"/>
          <w:color w:val="000000" w:themeColor="text1"/>
          <w:kern w:val="0"/>
          <w:szCs w:val="32"/>
          <w14:textFill>
            <w14:solidFill>
              <w14:schemeClr w14:val="tx1"/>
            </w14:solidFill>
          </w14:textFill>
        </w:rPr>
        <w:t>推动经济社会发展全面绿色转型，协同推进</w:t>
      </w:r>
      <w:r>
        <w:rPr>
          <w:rFonts w:ascii="Times New Roman" w:hAnsi="Times New Roman" w:eastAsia="仿宋_GB2312" w:cs="Times New Roman"/>
          <w:color w:val="000000" w:themeColor="text1"/>
          <w:kern w:val="0"/>
          <w:szCs w:val="32"/>
          <w14:textFill>
            <w14:solidFill>
              <w14:schemeClr w14:val="tx1"/>
            </w14:solidFill>
          </w14:textFill>
        </w:rPr>
        <w:t>降碳、减污、扩绿、增长，积极稳妥推进碳达峰工作，</w:t>
      </w:r>
      <w:r>
        <w:rPr>
          <w:rFonts w:hint="eastAsia" w:ascii="Times New Roman" w:hAnsi="Times New Roman" w:eastAsia="仿宋_GB2312" w:cs="Times New Roman"/>
          <w:color w:val="000000" w:themeColor="text1"/>
          <w:kern w:val="0"/>
          <w:szCs w:val="32"/>
          <w14:textFill>
            <w14:solidFill>
              <w14:schemeClr w14:val="tx1"/>
            </w14:solidFill>
          </w14:textFill>
        </w:rPr>
        <w:t>加快形成节约资源和保护环境的产业结构、生产方式、生活方式、空间格局，</w:t>
      </w:r>
      <w:r>
        <w:rPr>
          <w:rFonts w:ascii="Times New Roman" w:hAnsi="Times New Roman" w:eastAsia="仿宋_GB2312" w:cs="Times New Roman"/>
          <w:color w:val="000000" w:themeColor="text1"/>
          <w:kern w:val="0"/>
          <w:szCs w:val="32"/>
          <w14:textFill>
            <w14:solidFill>
              <w14:schemeClr w14:val="tx1"/>
            </w14:solidFill>
          </w14:textFill>
        </w:rPr>
        <w:t>在建设人与自然和谐共生的现代化上走在全市乃至全省前列，确保如期实现碳达峰目标。</w:t>
      </w:r>
    </w:p>
    <w:p w14:paraId="47A1C867">
      <w:pPr>
        <w:pStyle w:val="52"/>
        <w:overflowPunct w:val="0"/>
        <w:autoSpaceDE w:val="0"/>
        <w:autoSpaceDN w:val="0"/>
        <w:spacing w:line="560" w:lineRule="exact"/>
        <w:ind w:firstLine="640"/>
        <w:outlineLvl w:val="1"/>
        <w:rPr>
          <w:rFonts w:ascii="Times New Roman"/>
          <w:b w:val="0"/>
          <w:kern w:val="0"/>
        </w:rPr>
      </w:pPr>
      <w:bookmarkStart w:id="3" w:name="_Toc90252730"/>
      <w:bookmarkStart w:id="4" w:name="_Toc112686277"/>
      <w:bookmarkStart w:id="5" w:name="_Toc72271643"/>
      <w:r>
        <w:rPr>
          <w:rFonts w:hint="eastAsia" w:ascii="Times New Roman"/>
          <w:b w:val="0"/>
          <w:kern w:val="0"/>
        </w:rPr>
        <w:t>（二）</w:t>
      </w:r>
      <w:r>
        <w:rPr>
          <w:rFonts w:ascii="Times New Roman"/>
          <w:b w:val="0"/>
          <w:kern w:val="0"/>
        </w:rPr>
        <w:t>基本原则</w:t>
      </w:r>
      <w:bookmarkEnd w:id="3"/>
      <w:bookmarkEnd w:id="4"/>
      <w:bookmarkEnd w:id="5"/>
    </w:p>
    <w:p w14:paraId="2491E44C">
      <w:pPr>
        <w:overflowPunct w:val="0"/>
        <w:autoSpaceDE w:val="0"/>
        <w:autoSpaceDN w:val="0"/>
        <w:spacing w:line="560" w:lineRule="exact"/>
        <w:ind w:firstLine="643" w:firstLineChars="200"/>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b/>
          <w:bCs/>
          <w:color w:val="000000" w:themeColor="text1"/>
          <w:kern w:val="0"/>
          <w:szCs w:val="32"/>
          <w14:textFill>
            <w14:solidFill>
              <w14:schemeClr w14:val="tx1"/>
            </w14:solidFill>
          </w14:textFill>
        </w:rPr>
        <w:t>坚持系统谋划</w:t>
      </w:r>
      <w:r>
        <w:rPr>
          <w:rFonts w:ascii="Times New Roman" w:hAnsi="Times New Roman" w:eastAsia="仿宋_GB2312" w:cs="Times New Roman"/>
          <w:color w:val="000000" w:themeColor="text1"/>
          <w:kern w:val="0"/>
          <w:szCs w:val="32"/>
          <w14:textFill>
            <w14:solidFill>
              <w14:schemeClr w14:val="tx1"/>
            </w14:solidFill>
          </w14:textFill>
        </w:rPr>
        <w:t>。</w:t>
      </w:r>
      <w:r>
        <w:rPr>
          <w:rFonts w:hint="eastAsia" w:ascii="Times New Roman" w:hAnsi="Times New Roman" w:eastAsia="仿宋_GB2312" w:cs="Times New Roman"/>
          <w:color w:val="000000" w:themeColor="text1"/>
          <w:kern w:val="0"/>
          <w:szCs w:val="32"/>
          <w14:textFill>
            <w14:solidFill>
              <w14:schemeClr w14:val="tx1"/>
            </w14:solidFill>
          </w14:textFill>
        </w:rPr>
        <w:t>坚决服从国家、省、市统一部署，坚持全县一盘棋，强化总体设计、整体部署、分类施策、系统推进，实行党政同责、压实各方责任，</w:t>
      </w:r>
      <w:r>
        <w:rPr>
          <w:rFonts w:ascii="Times New Roman" w:hAnsi="Times New Roman" w:eastAsia="仿宋_GB2312" w:cs="Times New Roman"/>
          <w:color w:val="000000" w:themeColor="text1"/>
          <w:kern w:val="0"/>
          <w:szCs w:val="32"/>
          <w14:textFill>
            <w14:solidFill>
              <w14:schemeClr w14:val="tx1"/>
            </w14:solidFill>
          </w14:textFill>
        </w:rPr>
        <w:t>以碳达峰碳中和为统领，深入推进重点领域节能减碳，充分考虑</w:t>
      </w:r>
      <w:r>
        <w:rPr>
          <w:rFonts w:hint="eastAsia" w:ascii="Times New Roman" w:hAnsi="Times New Roman" w:eastAsia="仿宋_GB2312" w:cs="Times New Roman"/>
          <w:color w:val="000000" w:themeColor="text1"/>
          <w:kern w:val="0"/>
          <w:szCs w:val="32"/>
          <w14:textFill>
            <w14:solidFill>
              <w14:schemeClr w14:val="tx1"/>
            </w14:solidFill>
          </w14:textFill>
        </w:rPr>
        <w:t>区域</w:t>
      </w:r>
      <w:r>
        <w:rPr>
          <w:rFonts w:ascii="Times New Roman" w:hAnsi="Times New Roman" w:eastAsia="仿宋_GB2312" w:cs="Times New Roman"/>
          <w:color w:val="000000" w:themeColor="text1"/>
          <w:kern w:val="0"/>
          <w:szCs w:val="32"/>
          <w14:textFill>
            <w14:solidFill>
              <w14:schemeClr w14:val="tx1"/>
            </w14:solidFill>
          </w14:textFill>
        </w:rPr>
        <w:t>和行业之间的差异，</w:t>
      </w:r>
      <w:r>
        <w:rPr>
          <w:rFonts w:hint="eastAsia" w:ascii="Times New Roman" w:hAnsi="Times New Roman" w:eastAsia="仿宋_GB2312" w:cs="Times New Roman"/>
          <w:color w:val="000000" w:themeColor="text1"/>
          <w:kern w:val="0"/>
          <w:szCs w:val="32"/>
          <w14:textFill>
            <w14:solidFill>
              <w14:schemeClr w14:val="tx1"/>
            </w14:solidFill>
          </w14:textFill>
        </w:rPr>
        <w:t>加强针对性施策，推动重点行业和关键领域率先取得突破</w:t>
      </w:r>
      <w:r>
        <w:rPr>
          <w:rFonts w:ascii="Times New Roman" w:hAnsi="Times New Roman" w:eastAsia="仿宋_GB2312" w:cs="Times New Roman"/>
          <w:color w:val="000000" w:themeColor="text1"/>
          <w:kern w:val="0"/>
          <w:szCs w:val="32"/>
          <w14:textFill>
            <w14:solidFill>
              <w14:schemeClr w14:val="tx1"/>
            </w14:solidFill>
          </w14:textFill>
        </w:rPr>
        <w:t>。</w:t>
      </w:r>
    </w:p>
    <w:p w14:paraId="0BEFF906">
      <w:pPr>
        <w:overflowPunct w:val="0"/>
        <w:autoSpaceDE w:val="0"/>
        <w:autoSpaceDN w:val="0"/>
        <w:spacing w:line="560" w:lineRule="exact"/>
        <w:ind w:firstLine="643" w:firstLineChars="200"/>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b/>
          <w:bCs/>
          <w:color w:val="000000" w:themeColor="text1"/>
          <w:kern w:val="0"/>
          <w:szCs w:val="32"/>
          <w14:textFill>
            <w14:solidFill>
              <w14:schemeClr w14:val="tx1"/>
            </w14:solidFill>
          </w14:textFill>
        </w:rPr>
        <w:t>坚持绿色发展</w:t>
      </w:r>
      <w:r>
        <w:rPr>
          <w:rFonts w:ascii="Times New Roman" w:hAnsi="Times New Roman" w:eastAsia="仿宋_GB2312" w:cs="Times New Roman"/>
          <w:color w:val="000000" w:themeColor="text1"/>
          <w:kern w:val="0"/>
          <w:szCs w:val="32"/>
          <w14:textFill>
            <w14:solidFill>
              <w14:schemeClr w14:val="tx1"/>
            </w14:solidFill>
          </w14:textFill>
        </w:rPr>
        <w:t>。</w:t>
      </w:r>
      <w:r>
        <w:rPr>
          <w:rFonts w:hint="eastAsia" w:ascii="Times New Roman" w:hAnsi="Times New Roman" w:eastAsia="仿宋_GB2312" w:cs="Times New Roman"/>
          <w:color w:val="000000" w:themeColor="text1"/>
          <w:kern w:val="0"/>
          <w:szCs w:val="32"/>
          <w14:textFill>
            <w14:solidFill>
              <w14:schemeClr w14:val="tx1"/>
            </w14:solidFill>
          </w14:textFill>
        </w:rPr>
        <w:t>坚持</w:t>
      </w:r>
      <w:r>
        <w:rPr>
          <w:rFonts w:ascii="Times New Roman" w:hAnsi="Times New Roman" w:eastAsia="仿宋_GB2312" w:cs="Times New Roman"/>
          <w:color w:val="000000" w:themeColor="text1"/>
          <w:kern w:val="0"/>
          <w:szCs w:val="32"/>
          <w14:textFill>
            <w14:solidFill>
              <w14:schemeClr w14:val="tx1"/>
            </w14:solidFill>
          </w14:textFill>
        </w:rPr>
        <w:t>目标导向，抓住绿色转型带来的巨大发展机遇，以创新为驱动，健全完善以绿色低碳为特征的产业结构、生产方式和消费模式，推动形成绿色低碳生产生活方式，坚定不移走生态优先、绿色低碳的高质量发展道路。</w:t>
      </w:r>
    </w:p>
    <w:p w14:paraId="2BF2044F">
      <w:pPr>
        <w:overflowPunct w:val="0"/>
        <w:autoSpaceDE w:val="0"/>
        <w:autoSpaceDN w:val="0"/>
        <w:spacing w:line="560" w:lineRule="exact"/>
        <w:ind w:firstLine="643" w:firstLineChars="200"/>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b/>
          <w:bCs/>
          <w:color w:val="000000" w:themeColor="text1"/>
          <w:kern w:val="0"/>
          <w:szCs w:val="32"/>
          <w14:textFill>
            <w14:solidFill>
              <w14:schemeClr w14:val="tx1"/>
            </w14:solidFill>
          </w14:textFill>
        </w:rPr>
        <w:t>坚持</w:t>
      </w:r>
      <w:r>
        <w:rPr>
          <w:rFonts w:hint="eastAsia" w:ascii="Times New Roman" w:hAnsi="Times New Roman" w:eastAsia="仿宋_GB2312" w:cs="Times New Roman"/>
          <w:b/>
          <w:bCs/>
          <w:color w:val="000000" w:themeColor="text1"/>
          <w:kern w:val="0"/>
          <w:szCs w:val="32"/>
          <w14:textFill>
            <w14:solidFill>
              <w14:schemeClr w14:val="tx1"/>
            </w14:solidFill>
          </w14:textFill>
        </w:rPr>
        <w:t>双轮驱动。</w:t>
      </w:r>
      <w:r>
        <w:rPr>
          <w:rFonts w:hint="eastAsia" w:ascii="Times New Roman" w:hAnsi="Times New Roman" w:eastAsia="仿宋_GB2312" w:cs="Times New Roman"/>
          <w:color w:val="000000" w:themeColor="text1"/>
          <w:kern w:val="0"/>
          <w:szCs w:val="32"/>
          <w14:textFill>
            <w14:solidFill>
              <w14:schemeClr w14:val="tx1"/>
            </w14:solidFill>
          </w14:textFill>
        </w:rPr>
        <w:t>充分发挥市场机制作用，坚持有为政府和有效市场相结合，建立健全节能降碳工作激励约束机制。大力推动绿色低碳科技创新，不断深化能源等相关领域改革，鼓励企业参与碳排放权、用能权、绿色电力交易市场，提高节能降碳效率。</w:t>
      </w:r>
    </w:p>
    <w:p w14:paraId="48564ECF">
      <w:pPr>
        <w:overflowPunct w:val="0"/>
        <w:autoSpaceDE w:val="0"/>
        <w:autoSpaceDN w:val="0"/>
        <w:spacing w:line="560" w:lineRule="exact"/>
        <w:ind w:firstLine="643" w:firstLineChars="200"/>
        <w:rPr>
          <w:rFonts w:ascii="Times New Roman" w:hAnsi="Times New Roman" w:eastAsia="仿宋_GB2312" w:cs="Times New Roman"/>
          <w:color w:val="000000" w:themeColor="text1"/>
          <w:kern w:val="0"/>
          <w:szCs w:val="32"/>
          <w14:textFill>
            <w14:solidFill>
              <w14:schemeClr w14:val="tx1"/>
            </w14:solidFill>
          </w14:textFill>
        </w:rPr>
      </w:pPr>
      <w:r>
        <w:rPr>
          <w:rFonts w:ascii="Times New Roman" w:hAnsi="Times New Roman" w:eastAsia="仿宋_GB2312" w:cs="Times New Roman"/>
          <w:b/>
          <w:bCs/>
          <w:color w:val="000000" w:themeColor="text1"/>
          <w:kern w:val="0"/>
          <w:szCs w:val="32"/>
          <w14:textFill>
            <w14:solidFill>
              <w14:schemeClr w14:val="tx1"/>
            </w14:solidFill>
          </w14:textFill>
        </w:rPr>
        <w:t>坚持</w:t>
      </w:r>
      <w:r>
        <w:rPr>
          <w:rFonts w:hint="eastAsia" w:ascii="Times New Roman" w:hAnsi="Times New Roman" w:eastAsia="仿宋_GB2312" w:cs="Times New Roman"/>
          <w:b/>
          <w:bCs/>
          <w:color w:val="000000" w:themeColor="text1"/>
          <w:kern w:val="0"/>
          <w:szCs w:val="32"/>
          <w14:textFill>
            <w14:solidFill>
              <w14:schemeClr w14:val="tx1"/>
            </w14:solidFill>
          </w14:textFill>
        </w:rPr>
        <w:t>循序渐进</w:t>
      </w:r>
      <w:r>
        <w:rPr>
          <w:rFonts w:ascii="Times New Roman" w:hAnsi="Times New Roman" w:eastAsia="仿宋_GB2312" w:cs="Times New Roman"/>
          <w:color w:val="000000" w:themeColor="text1"/>
          <w:kern w:val="0"/>
          <w:szCs w:val="32"/>
          <w14:textFill>
            <w14:solidFill>
              <w14:schemeClr w14:val="tx1"/>
            </w14:solidFill>
          </w14:textFill>
        </w:rPr>
        <w:t>。</w:t>
      </w:r>
      <w:r>
        <w:rPr>
          <w:rFonts w:hint="eastAsia" w:ascii="Times New Roman" w:hAnsi="Times New Roman" w:eastAsia="仿宋_GB2312" w:cs="Times New Roman"/>
          <w:color w:val="000000" w:themeColor="text1"/>
          <w:kern w:val="0"/>
          <w:szCs w:val="32"/>
          <w14:textFill>
            <w14:solidFill>
              <w14:schemeClr w14:val="tx1"/>
            </w14:solidFill>
          </w14:textFill>
        </w:rPr>
        <w:t>统筹处理好节能减污降碳和能源安全、产业链供应链安全、粮食安全、群众正常生活的关系，有效防范风险、坚持先立后破，有力应对绿色低碳转型可能伴随的经济、金融、社会等风险，稳妥有序推进碳达峰，确保安全降碳。</w:t>
      </w:r>
    </w:p>
    <w:p w14:paraId="321A48BF">
      <w:pPr>
        <w:pStyle w:val="55"/>
        <w:rPr>
          <w:kern w:val="0"/>
        </w:rPr>
      </w:pPr>
      <w:bookmarkStart w:id="6" w:name="_Toc72271644"/>
      <w:bookmarkStart w:id="7" w:name="_Toc90252731"/>
      <w:bookmarkStart w:id="8" w:name="_Toc112686278"/>
      <w:r>
        <w:rPr>
          <w:rFonts w:hint="eastAsia"/>
          <w:kern w:val="0"/>
        </w:rPr>
        <w:t>二</w:t>
      </w:r>
      <w:r>
        <w:rPr>
          <w:kern w:val="0"/>
        </w:rPr>
        <w:t>、主要目标</w:t>
      </w:r>
      <w:bookmarkEnd w:id="6"/>
      <w:bookmarkEnd w:id="7"/>
      <w:bookmarkEnd w:id="8"/>
    </w:p>
    <w:p w14:paraId="3597BE50">
      <w:pPr>
        <w:overflowPunct w:val="0"/>
        <w:autoSpaceDE w:val="0"/>
        <w:autoSpaceDN w:val="0"/>
        <w:spacing w:line="560" w:lineRule="exact"/>
        <w:ind w:firstLine="640" w:firstLineChars="200"/>
        <w:rPr>
          <w:rFonts w:ascii="Times New Roman" w:hAnsi="Times New Roman" w:eastAsia="仿宋_GB2312" w:cs="Times New Roman"/>
          <w:kern w:val="0"/>
          <w:szCs w:val="32"/>
        </w:rPr>
      </w:pPr>
      <w:r>
        <w:rPr>
          <w:rFonts w:hint="eastAsia" w:ascii="Times New Roman" w:hAnsi="Times New Roman" w:eastAsia="仿宋_GB2312" w:cs="Times New Roman"/>
          <w:kern w:val="0"/>
          <w:szCs w:val="32"/>
        </w:rPr>
        <w:t>“十五五”期间</w:t>
      </w:r>
      <w:r>
        <w:rPr>
          <w:rFonts w:ascii="Times New Roman" w:hAnsi="Times New Roman" w:eastAsia="仿宋_GB2312" w:cs="Times New Roman"/>
          <w:kern w:val="0"/>
          <w:szCs w:val="32"/>
        </w:rPr>
        <w:t>，</w:t>
      </w:r>
      <w:r>
        <w:rPr>
          <w:rFonts w:hint="eastAsia" w:ascii="Times New Roman" w:hAnsi="Times New Roman" w:eastAsia="仿宋_GB2312" w:cs="Times New Roman"/>
          <w:kern w:val="0"/>
          <w:szCs w:val="32"/>
        </w:rPr>
        <w:t>全县经济社会发展全面</w:t>
      </w:r>
      <w:r>
        <w:rPr>
          <w:rFonts w:ascii="Times New Roman" w:hAnsi="Times New Roman" w:eastAsia="仿宋_GB2312" w:cs="Times New Roman"/>
          <w:kern w:val="0"/>
          <w:szCs w:val="32"/>
        </w:rPr>
        <w:t>绿色低碳转型取得显著成效</w:t>
      </w:r>
      <w:r>
        <w:rPr>
          <w:rFonts w:hint="eastAsia" w:ascii="Times New Roman" w:hAnsi="Times New Roman" w:eastAsia="仿宋_GB2312" w:cs="Times New Roman"/>
          <w:kern w:val="0"/>
          <w:szCs w:val="32"/>
        </w:rPr>
        <w:t>，清洁低碳安全高效的能源体系逐步健全</w:t>
      </w:r>
      <w:r>
        <w:rPr>
          <w:rFonts w:ascii="Times New Roman" w:hAnsi="Times New Roman" w:eastAsia="仿宋_GB2312" w:cs="Times New Roman"/>
          <w:kern w:val="0"/>
          <w:szCs w:val="32"/>
        </w:rPr>
        <w:t>，低碳技术创新和低碳产业发展取得</w:t>
      </w:r>
      <w:r>
        <w:rPr>
          <w:rFonts w:hint="eastAsia" w:ascii="Times New Roman" w:hAnsi="Times New Roman" w:eastAsia="仿宋_GB2312" w:cs="Times New Roman"/>
          <w:kern w:val="0"/>
          <w:szCs w:val="32"/>
        </w:rPr>
        <w:t>长足进步，减污降碳协同管理体系更加完善</w:t>
      </w:r>
      <w:r>
        <w:rPr>
          <w:rFonts w:ascii="Times New Roman" w:hAnsi="Times New Roman" w:eastAsia="仿宋_GB2312" w:cs="Times New Roman"/>
          <w:kern w:val="0"/>
          <w:szCs w:val="32"/>
        </w:rPr>
        <w:t>。</w:t>
      </w:r>
    </w:p>
    <w:p w14:paraId="145D5CF9">
      <w:pPr>
        <w:overflowPunct w:val="0"/>
        <w:autoSpaceDE w:val="0"/>
        <w:autoSpaceDN w:val="0"/>
        <w:spacing w:line="560" w:lineRule="exact"/>
        <w:ind w:firstLine="640" w:firstLineChars="200"/>
        <w:rPr>
          <w:rFonts w:ascii="Times New Roman" w:hAnsi="Times New Roman" w:eastAsia="仿宋_GB2312" w:cs="Times New Roman"/>
          <w:kern w:val="0"/>
          <w:szCs w:val="32"/>
        </w:rPr>
      </w:pPr>
      <w:r>
        <w:rPr>
          <w:rFonts w:hint="eastAsia" w:ascii="Times New Roman" w:hAnsi="Times New Roman" w:eastAsia="仿宋_GB2312" w:cs="Times New Roman"/>
          <w:kern w:val="0"/>
          <w:szCs w:val="32"/>
        </w:rPr>
        <w:t>到2</w:t>
      </w:r>
      <w:r>
        <w:rPr>
          <w:rFonts w:ascii="Times New Roman" w:hAnsi="Times New Roman" w:eastAsia="仿宋_GB2312" w:cs="Times New Roman"/>
          <w:kern w:val="0"/>
          <w:szCs w:val="32"/>
        </w:rPr>
        <w:t>02</w:t>
      </w:r>
      <w:r>
        <w:rPr>
          <w:rFonts w:hint="eastAsia" w:ascii="Times New Roman" w:hAnsi="Times New Roman" w:eastAsia="仿宋_GB2312" w:cs="Times New Roman"/>
          <w:kern w:val="0"/>
          <w:szCs w:val="32"/>
        </w:rPr>
        <w:t>6年底，</w:t>
      </w:r>
      <w:r>
        <w:rPr>
          <w:rFonts w:ascii="Times New Roman" w:hAnsi="Times New Roman" w:eastAsia="仿宋_GB2312" w:cs="Times New Roman"/>
          <w:kern w:val="0"/>
          <w:szCs w:val="32"/>
        </w:rPr>
        <w:t>单位</w:t>
      </w:r>
      <w:r>
        <w:rPr>
          <w:rFonts w:hint="eastAsia" w:ascii="Times New Roman" w:hAnsi="Times New Roman" w:eastAsia="仿宋_GB2312" w:cs="Times New Roman"/>
          <w:kern w:val="0"/>
          <w:szCs w:val="32"/>
        </w:rPr>
        <w:t>地区生产总值</w:t>
      </w:r>
      <w:r>
        <w:rPr>
          <w:rFonts w:ascii="Times New Roman" w:hAnsi="Times New Roman" w:eastAsia="仿宋_GB2312" w:cs="Times New Roman"/>
          <w:kern w:val="0"/>
          <w:szCs w:val="32"/>
        </w:rPr>
        <w:t>能耗较2020年下降13.5%以上，单位地区生产总值二氧化碳排放</w:t>
      </w:r>
      <w:r>
        <w:rPr>
          <w:rFonts w:hint="eastAsia" w:ascii="Times New Roman" w:hAnsi="Times New Roman" w:eastAsia="仿宋_GB2312" w:cs="Times New Roman"/>
          <w:kern w:val="0"/>
          <w:szCs w:val="32"/>
        </w:rPr>
        <w:t>完成市下达的目标任务</w:t>
      </w:r>
      <w:r>
        <w:rPr>
          <w:rFonts w:ascii="Times New Roman" w:hAnsi="Times New Roman" w:eastAsia="仿宋_GB2312" w:cs="Times New Roman"/>
          <w:kern w:val="0"/>
          <w:szCs w:val="32"/>
        </w:rPr>
        <w:t>；非化石能源消费占能源消费比重</w:t>
      </w:r>
      <w:r>
        <w:rPr>
          <w:rFonts w:hint="eastAsia" w:ascii="Times New Roman" w:hAnsi="Times New Roman" w:eastAsia="仿宋_GB2312" w:cs="Times New Roman"/>
          <w:kern w:val="0"/>
          <w:szCs w:val="32"/>
        </w:rPr>
        <w:t>居</w:t>
      </w:r>
      <w:r>
        <w:rPr>
          <w:rFonts w:ascii="Times New Roman" w:hAnsi="Times New Roman" w:eastAsia="仿宋_GB2312" w:cs="Times New Roman"/>
          <w:kern w:val="0"/>
          <w:szCs w:val="32"/>
        </w:rPr>
        <w:t>全市前列，</w:t>
      </w:r>
      <w:r>
        <w:rPr>
          <w:rFonts w:hint="eastAsia" w:ascii="Times New Roman" w:hAnsi="Times New Roman" w:eastAsia="仿宋_GB2312" w:cs="Times New Roman"/>
          <w:kern w:val="0"/>
          <w:szCs w:val="32"/>
        </w:rPr>
        <w:t>风电、太阳能等可再生能源发电装机容量持续保持全市前列，林木覆盖率保持稳定，</w:t>
      </w:r>
      <w:r>
        <w:rPr>
          <w:rFonts w:ascii="Times New Roman" w:hAnsi="Times New Roman" w:eastAsia="仿宋_GB2312" w:cs="Times New Roman"/>
          <w:kern w:val="0"/>
          <w:szCs w:val="32"/>
        </w:rPr>
        <w:t>为实现碳达峰奠定坚实基础。</w:t>
      </w:r>
    </w:p>
    <w:p w14:paraId="5CC47A1F">
      <w:pPr>
        <w:overflowPunct w:val="0"/>
        <w:autoSpaceDE w:val="0"/>
        <w:autoSpaceDN w:val="0"/>
        <w:spacing w:line="560" w:lineRule="exact"/>
        <w:ind w:firstLine="640" w:firstLineChars="200"/>
        <w:rPr>
          <w:rFonts w:ascii="Times New Roman" w:hAnsi="Times New Roman" w:eastAsia="仿宋_GB2312" w:cs="Times New Roman"/>
          <w:kern w:val="0"/>
          <w:szCs w:val="32"/>
        </w:rPr>
      </w:pPr>
      <w:r>
        <w:rPr>
          <w:rFonts w:hint="eastAsia" w:ascii="Times New Roman" w:hAnsi="Times New Roman" w:eastAsia="仿宋_GB2312" w:cs="Times New Roman"/>
          <w:kern w:val="0"/>
          <w:szCs w:val="32"/>
        </w:rPr>
        <w:t>到2</w:t>
      </w:r>
      <w:r>
        <w:rPr>
          <w:rFonts w:ascii="Times New Roman" w:hAnsi="Times New Roman" w:eastAsia="仿宋_GB2312" w:cs="Times New Roman"/>
          <w:kern w:val="0"/>
          <w:szCs w:val="32"/>
        </w:rPr>
        <w:t>030</w:t>
      </w:r>
      <w:r>
        <w:rPr>
          <w:rFonts w:hint="eastAsia" w:ascii="Times New Roman" w:hAnsi="Times New Roman" w:eastAsia="仿宋_GB2312" w:cs="Times New Roman"/>
          <w:kern w:val="0"/>
          <w:szCs w:val="32"/>
        </w:rPr>
        <w:t>年，</w:t>
      </w:r>
      <w:r>
        <w:rPr>
          <w:rFonts w:ascii="Times New Roman" w:hAnsi="Times New Roman" w:eastAsia="仿宋_GB2312" w:cs="Times New Roman"/>
          <w:kern w:val="0"/>
          <w:szCs w:val="32"/>
        </w:rPr>
        <w:t>单位</w:t>
      </w:r>
      <w:r>
        <w:rPr>
          <w:rFonts w:hint="eastAsia" w:ascii="Times New Roman" w:hAnsi="Times New Roman" w:eastAsia="仿宋_GB2312" w:cs="Times New Roman"/>
          <w:kern w:val="0"/>
          <w:szCs w:val="32"/>
        </w:rPr>
        <w:t>地区生产总值</w:t>
      </w:r>
      <w:r>
        <w:rPr>
          <w:rFonts w:ascii="Times New Roman" w:hAnsi="Times New Roman" w:eastAsia="仿宋_GB2312" w:cs="Times New Roman"/>
          <w:kern w:val="0"/>
          <w:szCs w:val="32"/>
        </w:rPr>
        <w:t>能耗</w:t>
      </w:r>
      <w:r>
        <w:rPr>
          <w:rFonts w:hint="eastAsia" w:ascii="Times New Roman" w:hAnsi="Times New Roman" w:eastAsia="仿宋_GB2312" w:cs="Times New Roman"/>
          <w:kern w:val="0"/>
          <w:szCs w:val="32"/>
        </w:rPr>
        <w:t>水平居</w:t>
      </w:r>
      <w:r>
        <w:rPr>
          <w:rFonts w:ascii="Times New Roman" w:hAnsi="Times New Roman" w:eastAsia="仿宋_GB2312" w:cs="Times New Roman"/>
          <w:kern w:val="0"/>
          <w:szCs w:val="32"/>
        </w:rPr>
        <w:t>全市前列，单位地区生产总值二氧化碳排放</w:t>
      </w:r>
      <w:r>
        <w:rPr>
          <w:rFonts w:hint="eastAsia" w:ascii="Times New Roman" w:hAnsi="Times New Roman" w:eastAsia="仿宋_GB2312" w:cs="Times New Roman"/>
          <w:kern w:val="0"/>
          <w:szCs w:val="32"/>
        </w:rPr>
        <w:t>完成市下达的目标任务</w:t>
      </w:r>
      <w:r>
        <w:rPr>
          <w:rFonts w:ascii="Times New Roman" w:hAnsi="Times New Roman" w:eastAsia="仿宋_GB2312" w:cs="Times New Roman"/>
          <w:kern w:val="0"/>
          <w:szCs w:val="32"/>
        </w:rPr>
        <w:t>，非化石能源消费比重</w:t>
      </w:r>
      <w:r>
        <w:rPr>
          <w:rFonts w:hint="eastAsia" w:ascii="Times New Roman" w:hAnsi="Times New Roman" w:eastAsia="仿宋_GB2312" w:cs="Times New Roman"/>
          <w:kern w:val="0"/>
          <w:szCs w:val="32"/>
        </w:rPr>
        <w:t>保持全市前列，</w:t>
      </w:r>
      <w:r>
        <w:rPr>
          <w:rFonts w:ascii="Times New Roman" w:hAnsi="Times New Roman" w:eastAsia="仿宋_GB2312" w:cs="Times New Roman"/>
          <w:kern w:val="0"/>
          <w:szCs w:val="32"/>
        </w:rPr>
        <w:t>林木覆盖率保持稳定</w:t>
      </w:r>
      <w:r>
        <w:rPr>
          <w:rFonts w:hint="eastAsia" w:ascii="Times New Roman" w:hAnsi="Times New Roman" w:eastAsia="仿宋_GB2312" w:cs="Times New Roman"/>
          <w:kern w:val="0"/>
          <w:szCs w:val="32"/>
        </w:rPr>
        <w:t>，为实现碳中和提供强有力支撑</w:t>
      </w:r>
      <w:r>
        <w:rPr>
          <w:rFonts w:ascii="Times New Roman" w:hAnsi="Times New Roman" w:eastAsia="仿宋_GB2312" w:cs="Times New Roman"/>
          <w:kern w:val="0"/>
          <w:szCs w:val="32"/>
        </w:rPr>
        <w:t>。</w:t>
      </w:r>
    </w:p>
    <w:p w14:paraId="52639507">
      <w:pPr>
        <w:pStyle w:val="55"/>
        <w:rPr>
          <w:kern w:val="0"/>
        </w:rPr>
      </w:pPr>
      <w:bookmarkStart w:id="9" w:name="_Toc112686279"/>
      <w:r>
        <w:rPr>
          <w:rFonts w:hint="eastAsia"/>
          <w:kern w:val="0"/>
        </w:rPr>
        <w:t>三</w:t>
      </w:r>
      <w:r>
        <w:rPr>
          <w:kern w:val="0"/>
        </w:rPr>
        <w:t>、重点任务</w:t>
      </w:r>
      <w:bookmarkEnd w:id="9"/>
    </w:p>
    <w:p w14:paraId="53CAF504">
      <w:pPr>
        <w:overflowPunct w:val="0"/>
        <w:autoSpaceDE w:val="0"/>
        <w:autoSpaceDN w:val="0"/>
        <w:spacing w:line="560" w:lineRule="exact"/>
        <w:ind w:firstLine="640" w:firstLineChars="200"/>
        <w:rPr>
          <w:rFonts w:ascii="Times New Roman" w:hAnsi="Times New Roman" w:eastAsia="仿宋_GB2312" w:cs="Times New Roman"/>
          <w:color w:val="000000" w:themeColor="text1"/>
          <w:kern w:val="0"/>
          <w:szCs w:val="32"/>
          <w14:textFill>
            <w14:solidFill>
              <w14:schemeClr w14:val="tx1"/>
            </w14:solidFill>
          </w14:textFill>
        </w:rPr>
      </w:pPr>
      <w:bookmarkStart w:id="10" w:name="_Toc112686280"/>
      <w:bookmarkStart w:id="11" w:name="_Toc90252733"/>
      <w:bookmarkStart w:id="12" w:name="_Toc90252734"/>
      <w:r>
        <w:rPr>
          <w:rFonts w:hint="eastAsia" w:ascii="Times New Roman" w:hAnsi="Times New Roman" w:eastAsia="仿宋_GB2312" w:cs="Times New Roman"/>
          <w:color w:val="000000" w:themeColor="text1"/>
          <w:kern w:val="0"/>
          <w:szCs w:val="32"/>
          <w14:textFill>
            <w14:solidFill>
              <w14:schemeClr w14:val="tx1"/>
            </w14:solidFill>
          </w14:textFill>
        </w:rPr>
        <w:t>将碳达峰贯穿于全县经济社会发展全过程和各方面，深入开展产业焕新提质、能源低碳转型、节能降碳增效、循环经济降碳、城乡建设低碳、交通运输低碳、科技创新减碳、碳汇能力提升、示范工程引领、低碳全民创建等“碳达峰十大行动”。</w:t>
      </w:r>
    </w:p>
    <w:p w14:paraId="2921637E">
      <w:pPr>
        <w:pStyle w:val="52"/>
        <w:overflowPunct w:val="0"/>
        <w:autoSpaceDE w:val="0"/>
        <w:autoSpaceDN w:val="0"/>
        <w:spacing w:line="560" w:lineRule="exact"/>
        <w:ind w:firstLine="640"/>
        <w:outlineLvl w:val="1"/>
        <w:rPr>
          <w:rFonts w:ascii="Times New Roman"/>
          <w:b w:val="0"/>
          <w:kern w:val="0"/>
        </w:rPr>
      </w:pPr>
      <w:r>
        <w:rPr>
          <w:rFonts w:ascii="Times New Roman"/>
          <w:b w:val="0"/>
          <w:kern w:val="0"/>
        </w:rPr>
        <w:t>（一）产业</w:t>
      </w:r>
      <w:r>
        <w:rPr>
          <w:rFonts w:hint="eastAsia" w:ascii="Times New Roman"/>
          <w:b w:val="0"/>
          <w:kern w:val="0"/>
        </w:rPr>
        <w:t>焕新提质行动</w:t>
      </w:r>
      <w:bookmarkEnd w:id="10"/>
    </w:p>
    <w:p w14:paraId="577D53DE">
      <w:pPr>
        <w:overflowPunct w:val="0"/>
        <w:autoSpaceDE w:val="0"/>
        <w:autoSpaceDN w:val="0"/>
        <w:adjustRightInd w:val="0"/>
        <w:snapToGrid w:val="0"/>
        <w:spacing w:line="560" w:lineRule="exact"/>
        <w:ind w:firstLine="643" w:firstLineChars="200"/>
        <w:outlineLvl w:val="2"/>
        <w:rPr>
          <w:rFonts w:ascii="Times New Roman" w:hAnsi="Times New Roman" w:eastAsia="方正仿宋_GBK" w:cs="Times New Roman"/>
          <w:kern w:val="0"/>
          <w:szCs w:val="32"/>
        </w:rPr>
      </w:pPr>
      <w:bookmarkStart w:id="13" w:name="_Toc109398357"/>
      <w:bookmarkStart w:id="14" w:name="_Toc112686282"/>
      <w:r>
        <w:rPr>
          <w:rStyle w:val="51"/>
          <w:rFonts w:hint="eastAsia"/>
          <w:b/>
          <w:kern w:val="0"/>
        </w:rPr>
        <w:t>1</w:t>
      </w:r>
      <w:r>
        <w:rPr>
          <w:rStyle w:val="51"/>
          <w:b/>
          <w:kern w:val="0"/>
        </w:rPr>
        <w:t>．构建绿色低碳现代产业体系。</w:t>
      </w:r>
      <w:r>
        <w:rPr>
          <w:rFonts w:ascii="Times New Roman" w:hAnsi="Times New Roman" w:eastAsia="仿宋_GB2312" w:cs="Times New Roman"/>
          <w:color w:val="000000" w:themeColor="text1"/>
          <w:kern w:val="0"/>
          <w:szCs w:val="32"/>
          <w14:textFill>
            <w14:solidFill>
              <w14:schemeClr w14:val="tx1"/>
            </w14:solidFill>
          </w14:textFill>
        </w:rPr>
        <w:t>做强高端装备制造、新材料、大健康等主导产业，积极发展</w:t>
      </w:r>
      <w:r>
        <w:rPr>
          <w:rFonts w:hint="eastAsia" w:ascii="Times New Roman" w:hAnsi="Times New Roman" w:eastAsia="仿宋_GB2312" w:cs="Times New Roman"/>
          <w:color w:val="000000" w:themeColor="text1"/>
          <w:kern w:val="0"/>
          <w:szCs w:val="32"/>
          <w14:textFill>
            <w14:solidFill>
              <w14:schemeClr w14:val="tx1"/>
            </w14:solidFill>
          </w14:textFill>
        </w:rPr>
        <w:t>工业母机及工业机器人</w:t>
      </w:r>
      <w:r>
        <w:rPr>
          <w:rFonts w:ascii="Times New Roman" w:hAnsi="Times New Roman" w:eastAsia="仿宋_GB2312" w:cs="Times New Roman"/>
          <w:color w:val="000000" w:themeColor="text1"/>
          <w:kern w:val="0"/>
          <w:szCs w:val="32"/>
          <w14:textFill>
            <w14:solidFill>
              <w14:schemeClr w14:val="tx1"/>
            </w14:solidFill>
          </w14:textFill>
        </w:rPr>
        <w:t>、</w:t>
      </w:r>
      <w:r>
        <w:rPr>
          <w:rFonts w:hint="eastAsia" w:ascii="Times New Roman" w:hAnsi="Times New Roman" w:eastAsia="仿宋_GB2312" w:cs="Times New Roman"/>
          <w:color w:val="000000" w:themeColor="text1"/>
          <w:kern w:val="0"/>
          <w:szCs w:val="32"/>
          <w14:textFill>
            <w14:solidFill>
              <w14:schemeClr w14:val="tx1"/>
            </w14:solidFill>
          </w14:textFill>
        </w:rPr>
        <w:t>低空经济</w:t>
      </w:r>
      <w:r>
        <w:rPr>
          <w:rFonts w:ascii="Times New Roman" w:hAnsi="Times New Roman" w:eastAsia="仿宋_GB2312" w:cs="Times New Roman"/>
          <w:color w:val="000000" w:themeColor="text1"/>
          <w:kern w:val="0"/>
          <w:szCs w:val="32"/>
          <w14:textFill>
            <w14:solidFill>
              <w14:schemeClr w14:val="tx1"/>
            </w14:solidFill>
          </w14:textFill>
        </w:rPr>
        <w:t>、</w:t>
      </w:r>
      <w:r>
        <w:rPr>
          <w:rFonts w:hint="eastAsia" w:ascii="Times New Roman" w:hAnsi="Times New Roman" w:eastAsia="仿宋_GB2312" w:cs="Times New Roman"/>
          <w:color w:val="000000" w:themeColor="text1"/>
          <w:kern w:val="0"/>
          <w:szCs w:val="32"/>
          <w14:textFill>
            <w14:solidFill>
              <w14:schemeClr w14:val="tx1"/>
            </w14:solidFill>
          </w14:textFill>
        </w:rPr>
        <w:t>氢能</w:t>
      </w:r>
      <w:r>
        <w:rPr>
          <w:rFonts w:ascii="Times New Roman" w:hAnsi="Times New Roman" w:eastAsia="仿宋_GB2312" w:cs="Times New Roman"/>
          <w:color w:val="000000" w:themeColor="text1"/>
          <w:kern w:val="0"/>
          <w:szCs w:val="32"/>
          <w14:textFill>
            <w14:solidFill>
              <w14:schemeClr w14:val="tx1"/>
            </w14:solidFill>
          </w14:textFill>
        </w:rPr>
        <w:t>、</w:t>
      </w:r>
      <w:r>
        <w:rPr>
          <w:rFonts w:hint="eastAsia" w:ascii="Times New Roman" w:hAnsi="Times New Roman" w:eastAsia="仿宋_GB2312" w:cs="Times New Roman"/>
          <w:color w:val="000000" w:themeColor="text1"/>
          <w:kern w:val="0"/>
          <w:szCs w:val="32"/>
          <w14:textFill>
            <w14:solidFill>
              <w14:schemeClr w14:val="tx1"/>
            </w14:solidFill>
          </w14:textFill>
        </w:rPr>
        <w:t>生物医药及医疗器械</w:t>
      </w:r>
      <w:r>
        <w:rPr>
          <w:rFonts w:ascii="Times New Roman" w:hAnsi="Times New Roman" w:eastAsia="仿宋_GB2312" w:cs="Times New Roman"/>
          <w:color w:val="000000" w:themeColor="text1"/>
          <w:kern w:val="0"/>
          <w:szCs w:val="32"/>
          <w14:textFill>
            <w14:solidFill>
              <w14:schemeClr w14:val="tx1"/>
            </w14:solidFill>
          </w14:textFill>
        </w:rPr>
        <w:t>等战略性新兴产业</w:t>
      </w:r>
      <w:r>
        <w:rPr>
          <w:rFonts w:hint="eastAsia" w:ascii="Times New Roman" w:hAnsi="Times New Roman" w:eastAsia="仿宋_GB2312" w:cs="Times New Roman"/>
          <w:color w:val="000000" w:themeColor="text1"/>
          <w:kern w:val="0"/>
          <w:szCs w:val="32"/>
          <w14:textFill>
            <w14:solidFill>
              <w14:schemeClr w14:val="tx1"/>
            </w14:solidFill>
          </w14:textFill>
        </w:rPr>
        <w:t>及未来产业</w:t>
      </w:r>
      <w:r>
        <w:rPr>
          <w:rFonts w:ascii="Times New Roman" w:hAnsi="Times New Roman" w:eastAsia="仿宋_GB2312" w:cs="Times New Roman"/>
          <w:color w:val="000000" w:themeColor="text1"/>
          <w:kern w:val="0"/>
          <w:szCs w:val="32"/>
          <w14:textFill>
            <w14:solidFill>
              <w14:schemeClr w14:val="tx1"/>
            </w14:solidFill>
          </w14:textFill>
        </w:rPr>
        <w:t>，加快构建</w:t>
      </w:r>
      <w:r>
        <w:rPr>
          <w:rFonts w:hint="eastAsia" w:ascii="Times New Roman" w:hAnsi="Times New Roman" w:eastAsia="仿宋_GB2312" w:cs="Times New Roman"/>
          <w:color w:val="000000" w:themeColor="text1"/>
          <w:kern w:val="0"/>
          <w:szCs w:val="32"/>
          <w14:textFill>
            <w14:solidFill>
              <w14:schemeClr w14:val="tx1"/>
            </w14:solidFill>
          </w14:textFill>
        </w:rPr>
        <w:t>“3</w:t>
      </w:r>
      <w:r>
        <w:rPr>
          <w:rFonts w:ascii="Times New Roman" w:hAnsi="Times New Roman" w:eastAsia="仿宋_GB2312" w:cs="Times New Roman"/>
          <w:color w:val="000000" w:themeColor="text1"/>
          <w:kern w:val="0"/>
          <w:szCs w:val="32"/>
          <w14:textFill>
            <w14:solidFill>
              <w14:schemeClr w14:val="tx1"/>
            </w14:solidFill>
          </w14:textFill>
        </w:rPr>
        <w:t>+X</w:t>
      </w:r>
      <w:r>
        <w:rPr>
          <w:rFonts w:hint="eastAsia" w:ascii="Times New Roman" w:hAnsi="Times New Roman" w:eastAsia="仿宋_GB2312" w:cs="Times New Roman"/>
          <w:color w:val="000000" w:themeColor="text1"/>
          <w:kern w:val="0"/>
          <w:szCs w:val="32"/>
          <w14:textFill>
            <w14:solidFill>
              <w14:schemeClr w14:val="tx1"/>
            </w14:solidFill>
          </w14:textFill>
        </w:rPr>
        <w:t>”现代化产业体系</w:t>
      </w:r>
      <w:r>
        <w:rPr>
          <w:rFonts w:ascii="Times New Roman" w:hAnsi="Times New Roman" w:eastAsia="仿宋_GB2312" w:cs="Times New Roman"/>
          <w:color w:val="000000" w:themeColor="text1"/>
          <w:kern w:val="0"/>
          <w:szCs w:val="32"/>
          <w14:textFill>
            <w14:solidFill>
              <w14:schemeClr w14:val="tx1"/>
            </w14:solidFill>
          </w14:textFill>
        </w:rPr>
        <w:t>。以</w:t>
      </w:r>
      <w:r>
        <w:rPr>
          <w:rFonts w:hint="eastAsia" w:ascii="Times New Roman" w:hAnsi="Times New Roman" w:eastAsia="仿宋_GB2312" w:cs="Times New Roman"/>
          <w:color w:val="000000" w:themeColor="text1"/>
          <w:kern w:val="0"/>
          <w:szCs w:val="32"/>
          <w14:textFill>
            <w14:solidFill>
              <w14:schemeClr w14:val="tx1"/>
            </w14:solidFill>
          </w14:textFill>
        </w:rPr>
        <w:t>“</w:t>
      </w:r>
      <w:r>
        <w:rPr>
          <w:rFonts w:ascii="Times New Roman" w:hAnsi="Times New Roman" w:eastAsia="仿宋_GB2312" w:cs="Times New Roman"/>
          <w:color w:val="000000" w:themeColor="text1"/>
          <w:kern w:val="0"/>
          <w:szCs w:val="32"/>
          <w14:textFill>
            <w14:solidFill>
              <w14:schemeClr w14:val="tx1"/>
            </w14:solidFill>
          </w14:textFill>
        </w:rPr>
        <w:t>链长制</w:t>
      </w:r>
      <w:r>
        <w:rPr>
          <w:rFonts w:hint="eastAsia" w:ascii="Times New Roman" w:hAnsi="Times New Roman" w:eastAsia="仿宋_GB2312" w:cs="Times New Roman"/>
          <w:color w:val="000000" w:themeColor="text1"/>
          <w:kern w:val="0"/>
          <w:szCs w:val="32"/>
          <w14:textFill>
            <w14:solidFill>
              <w14:schemeClr w14:val="tx1"/>
            </w14:solidFill>
          </w14:textFill>
        </w:rPr>
        <w:t>”</w:t>
      </w:r>
      <w:r>
        <w:rPr>
          <w:rFonts w:ascii="Times New Roman" w:hAnsi="Times New Roman" w:eastAsia="仿宋_GB2312" w:cs="Times New Roman"/>
          <w:color w:val="000000" w:themeColor="text1"/>
          <w:kern w:val="0"/>
          <w:szCs w:val="32"/>
          <w14:textFill>
            <w14:solidFill>
              <w14:schemeClr w14:val="tx1"/>
            </w14:solidFill>
          </w14:textFill>
        </w:rPr>
        <w:t>为抓手，实施产业链提升行动计划，持续强链、补链、延链，着力提升产业链现代化水平。壮大节能环保等绿色产业规模，引导中小企业聚焦主业不断</w:t>
      </w:r>
      <w:r>
        <w:rPr>
          <w:rFonts w:hint="eastAsia" w:ascii="Times New Roman" w:hAnsi="Times New Roman" w:eastAsia="仿宋_GB2312" w:cs="Times New Roman"/>
          <w:color w:val="000000" w:themeColor="text1"/>
          <w:kern w:val="0"/>
          <w:szCs w:val="32"/>
          <w14:textFill>
            <w14:solidFill>
              <w14:schemeClr w14:val="tx1"/>
            </w14:solidFill>
          </w14:textFill>
        </w:rPr>
        <w:t>提升“</w:t>
      </w:r>
      <w:r>
        <w:rPr>
          <w:rFonts w:ascii="Times New Roman" w:hAnsi="Times New Roman" w:eastAsia="仿宋_GB2312" w:cs="Times New Roman"/>
          <w:color w:val="000000" w:themeColor="text1"/>
          <w:kern w:val="0"/>
          <w:szCs w:val="32"/>
          <w14:textFill>
            <w14:solidFill>
              <w14:schemeClr w14:val="tx1"/>
            </w14:solidFill>
          </w14:textFill>
        </w:rPr>
        <w:t>专精特新</w:t>
      </w:r>
      <w:r>
        <w:rPr>
          <w:rFonts w:hint="eastAsia" w:ascii="Times New Roman" w:hAnsi="Times New Roman" w:eastAsia="仿宋_GB2312" w:cs="Times New Roman"/>
          <w:color w:val="000000" w:themeColor="text1"/>
          <w:kern w:val="0"/>
          <w:szCs w:val="32"/>
          <w14:textFill>
            <w14:solidFill>
              <w14:schemeClr w14:val="tx1"/>
            </w14:solidFill>
          </w14:textFill>
        </w:rPr>
        <w:t>”</w:t>
      </w:r>
      <w:r>
        <w:rPr>
          <w:rFonts w:ascii="Times New Roman" w:hAnsi="Times New Roman" w:eastAsia="仿宋_GB2312" w:cs="Times New Roman"/>
          <w:color w:val="000000" w:themeColor="text1"/>
          <w:kern w:val="0"/>
          <w:szCs w:val="32"/>
          <w14:textFill>
            <w14:solidFill>
              <w14:schemeClr w14:val="tx1"/>
            </w14:solidFill>
          </w14:textFill>
        </w:rPr>
        <w:t>水平，培育打造一批节能环保类的小巨人企业。</w:t>
      </w:r>
      <w:r>
        <w:rPr>
          <w:rFonts w:hint="eastAsia" w:ascii="Times New Roman" w:hAnsi="Times New Roman" w:eastAsia="仿宋_GB2312" w:cs="Times New Roman"/>
          <w:color w:val="000000" w:themeColor="text1"/>
          <w:kern w:val="0"/>
          <w:szCs w:val="32"/>
          <w14:textFill>
            <w14:solidFill>
              <w14:schemeClr w14:val="tx1"/>
            </w14:solidFill>
          </w14:textFill>
        </w:rPr>
        <w:t>引导企业积极参与更高标准的绿色产品、低碳产品、碳足迹、碳中和等绿色认证体系建设。</w:t>
      </w:r>
      <w:r>
        <w:rPr>
          <w:rFonts w:ascii="Times New Roman" w:hAnsi="Times New Roman" w:eastAsia="仿宋_GB2312" w:cs="Times New Roman"/>
          <w:color w:val="000000" w:themeColor="text1"/>
          <w:kern w:val="0"/>
          <w:szCs w:val="32"/>
          <w14:textFill>
            <w14:solidFill>
              <w14:schemeClr w14:val="tx1"/>
            </w14:solidFill>
          </w14:textFill>
        </w:rPr>
        <w:t>到</w:t>
      </w:r>
      <w:r>
        <w:rPr>
          <w:rFonts w:hint="eastAsia" w:ascii="Times New Roman" w:hAnsi="Times New Roman" w:eastAsia="仿宋_GB2312" w:cs="Times New Roman"/>
          <w:color w:val="000000" w:themeColor="text1"/>
          <w:kern w:val="0"/>
          <w:szCs w:val="32"/>
          <w14:textFill>
            <w14:solidFill>
              <w14:schemeClr w14:val="tx1"/>
            </w14:solidFill>
          </w14:textFill>
        </w:rPr>
        <w:t>2026年底，力争</w:t>
      </w:r>
      <w:r>
        <w:rPr>
          <w:rFonts w:ascii="Times New Roman" w:hAnsi="Times New Roman" w:eastAsia="仿宋_GB2312" w:cs="Times New Roman"/>
          <w:color w:val="000000" w:themeColor="text1"/>
          <w:kern w:val="0"/>
          <w:szCs w:val="32"/>
          <w14:textFill>
            <w14:solidFill>
              <w14:schemeClr w14:val="tx1"/>
            </w14:solidFill>
          </w14:textFill>
        </w:rPr>
        <w:t>高新技术产业产值占规模以上工业产值比重达到</w:t>
      </w:r>
      <w:r>
        <w:rPr>
          <w:rFonts w:hint="eastAsia" w:ascii="Times New Roman" w:hAnsi="Times New Roman" w:eastAsia="仿宋_GB2312" w:cs="Times New Roman"/>
          <w:color w:val="000000" w:themeColor="text1"/>
          <w:kern w:val="0"/>
          <w:szCs w:val="32"/>
          <w14:textFill>
            <w14:solidFill>
              <w14:schemeClr w14:val="tx1"/>
            </w14:solidFill>
          </w14:textFill>
        </w:rPr>
        <w:t>41</w:t>
      </w:r>
      <w:r>
        <w:rPr>
          <w:rFonts w:ascii="Times New Roman" w:hAnsi="Times New Roman" w:eastAsia="仿宋_GB2312" w:cs="Times New Roman"/>
          <w:color w:val="000000" w:themeColor="text1"/>
          <w:kern w:val="0"/>
          <w:szCs w:val="32"/>
          <w14:textFill>
            <w14:solidFill>
              <w14:schemeClr w14:val="tx1"/>
            </w14:solidFill>
          </w14:textFill>
        </w:rPr>
        <w:t>%。</w:t>
      </w:r>
      <w:r>
        <w:rPr>
          <w:rFonts w:hint="eastAsia" w:ascii="Times New Roman" w:hAnsi="Times New Roman" w:eastAsia="仿宋_GB2312" w:cs="Times New Roman"/>
          <w:color w:val="000000" w:themeColor="text1"/>
          <w:kern w:val="0"/>
          <w:szCs w:val="32"/>
          <w14:textFill>
            <w14:solidFill>
              <w14:schemeClr w14:val="tx1"/>
            </w14:solidFill>
          </w14:textFill>
        </w:rPr>
        <w:t>到2030年，力争</w:t>
      </w:r>
      <w:r>
        <w:rPr>
          <w:rFonts w:ascii="Times New Roman" w:hAnsi="Times New Roman" w:eastAsia="仿宋_GB2312" w:cs="Times New Roman"/>
          <w:color w:val="000000" w:themeColor="text1"/>
          <w:kern w:val="0"/>
          <w:szCs w:val="32"/>
          <w14:textFill>
            <w14:solidFill>
              <w14:schemeClr w14:val="tx1"/>
            </w14:solidFill>
          </w14:textFill>
        </w:rPr>
        <w:t>高新技术产业产值占规模以上工业产值比重达到</w:t>
      </w:r>
      <w:r>
        <w:rPr>
          <w:rFonts w:hint="eastAsia" w:ascii="Times New Roman" w:hAnsi="Times New Roman" w:eastAsia="仿宋_GB2312" w:cs="Times New Roman"/>
          <w:color w:val="000000" w:themeColor="text1"/>
          <w:kern w:val="0"/>
          <w:szCs w:val="32"/>
          <w14:textFill>
            <w14:solidFill>
              <w14:schemeClr w14:val="tx1"/>
            </w14:solidFill>
          </w14:textFill>
        </w:rPr>
        <w:t>46</w:t>
      </w:r>
      <w:r>
        <w:rPr>
          <w:rFonts w:ascii="Times New Roman" w:hAnsi="Times New Roman" w:eastAsia="仿宋_GB2312" w:cs="Times New Roman"/>
          <w:color w:val="000000" w:themeColor="text1"/>
          <w:kern w:val="0"/>
          <w:szCs w:val="32"/>
          <w14:textFill>
            <w14:solidFill>
              <w14:schemeClr w14:val="tx1"/>
            </w14:solidFill>
          </w14:textFill>
        </w:rPr>
        <w:t>%。</w:t>
      </w:r>
      <w:r>
        <w:rPr>
          <w:rStyle w:val="57"/>
          <w:rFonts w:ascii="Times New Roman" w:hAnsi="Times New Roman"/>
          <w:kern w:val="0"/>
        </w:rPr>
        <w:t>（县工信局</w:t>
      </w:r>
      <w:r>
        <w:rPr>
          <w:rStyle w:val="57"/>
          <w:rFonts w:hint="eastAsia" w:ascii="Times New Roman" w:hAnsi="Times New Roman"/>
          <w:kern w:val="0"/>
        </w:rPr>
        <w:t>牵头，</w:t>
      </w:r>
      <w:r>
        <w:rPr>
          <w:rStyle w:val="57"/>
          <w:rFonts w:ascii="Times New Roman" w:hAnsi="Times New Roman"/>
          <w:kern w:val="0"/>
        </w:rPr>
        <w:t>县发改委、县科技局、县财政局、县住建局、县交通局、县农业农村局、县商务局、县卫健委、县数据局、县市场监管局、金湖生态环境局</w:t>
      </w:r>
      <w:r>
        <w:rPr>
          <w:rStyle w:val="57"/>
          <w:rFonts w:hint="eastAsia" w:ascii="Times New Roman" w:hAnsi="Times New Roman"/>
          <w:kern w:val="0"/>
        </w:rPr>
        <w:t>按职责分工负责。本项及以下各项任务均需各相关镇、街道、开发区贯彻落实，非特殊情况不再单独列出</w:t>
      </w:r>
      <w:r>
        <w:rPr>
          <w:rStyle w:val="57"/>
          <w:rFonts w:ascii="Times New Roman" w:hAnsi="Times New Roman"/>
          <w:kern w:val="0"/>
        </w:rPr>
        <w:t>）</w:t>
      </w:r>
    </w:p>
    <w:p w14:paraId="1BDDE3D0">
      <w:pPr>
        <w:overflowPunct w:val="0"/>
        <w:autoSpaceDE w:val="0"/>
        <w:autoSpaceDN w:val="0"/>
        <w:adjustRightInd w:val="0"/>
        <w:snapToGrid w:val="0"/>
        <w:spacing w:line="560" w:lineRule="exact"/>
        <w:ind w:firstLine="643" w:firstLineChars="200"/>
        <w:outlineLvl w:val="2"/>
        <w:rPr>
          <w:rStyle w:val="57"/>
          <w:rFonts w:ascii="Times New Roman" w:hAnsi="Times New Roman"/>
          <w:kern w:val="0"/>
        </w:rPr>
      </w:pPr>
      <w:r>
        <w:rPr>
          <w:rStyle w:val="51"/>
          <w:rFonts w:hint="eastAsia"/>
          <w:b/>
          <w:kern w:val="0"/>
        </w:rPr>
        <w:t>2</w:t>
      </w:r>
      <w:r>
        <w:rPr>
          <w:rStyle w:val="51"/>
          <w:b/>
          <w:kern w:val="0"/>
        </w:rPr>
        <w:t>．推进传统优势产业</w:t>
      </w:r>
      <w:r>
        <w:rPr>
          <w:rStyle w:val="51"/>
          <w:rFonts w:hint="eastAsia"/>
          <w:b/>
          <w:kern w:val="0"/>
        </w:rPr>
        <w:t>绿色低碳发展</w:t>
      </w:r>
      <w:r>
        <w:rPr>
          <w:rStyle w:val="51"/>
          <w:b/>
          <w:kern w:val="0"/>
        </w:rPr>
        <w:t>。</w:t>
      </w:r>
      <w:r>
        <w:rPr>
          <w:rFonts w:ascii="Times New Roman" w:hAnsi="Times New Roman" w:eastAsia="仿宋_GB2312" w:cs="Times New Roman"/>
          <w:color w:val="000000" w:themeColor="text1"/>
          <w:kern w:val="0"/>
          <w:szCs w:val="32"/>
          <w14:textFill>
            <w14:solidFill>
              <w14:schemeClr w14:val="tx1"/>
            </w14:solidFill>
          </w14:textFill>
        </w:rPr>
        <w:t>加快推进现代农业绿色发展，合理控制化肥、农药、地膜使用量，加强畜禽粪污资源化利用，促进农业固碳增效。推动工业领域绿色低碳发展，</w:t>
      </w:r>
      <w:r>
        <w:rPr>
          <w:rFonts w:hint="eastAsia" w:ascii="Times New Roman" w:hAnsi="Times New Roman" w:eastAsia="仿宋_GB2312" w:cs="Times New Roman"/>
          <w:color w:val="000000" w:themeColor="text1"/>
          <w:kern w:val="0"/>
          <w:szCs w:val="32"/>
          <w14:textFill>
            <w14:solidFill>
              <w14:schemeClr w14:val="tx1"/>
            </w14:solidFill>
          </w14:textFill>
        </w:rPr>
        <w:t>实施产业转型“数字赋能”，把握智能化、绿色化、融合化发展方向，推动</w:t>
      </w:r>
      <w:r>
        <w:rPr>
          <w:rFonts w:ascii="Times New Roman" w:hAnsi="Times New Roman" w:eastAsia="仿宋_GB2312" w:cs="Times New Roman"/>
          <w:color w:val="000000" w:themeColor="text1"/>
          <w:kern w:val="0"/>
          <w:szCs w:val="32"/>
          <w14:textFill>
            <w14:solidFill>
              <w14:schemeClr w14:val="tx1"/>
            </w14:solidFill>
          </w14:textFill>
        </w:rPr>
        <w:t>传统产业</w:t>
      </w:r>
      <w:r>
        <w:rPr>
          <w:rFonts w:hint="eastAsia" w:ascii="Times New Roman" w:hAnsi="Times New Roman" w:eastAsia="仿宋_GB2312" w:cs="Times New Roman"/>
          <w:color w:val="000000" w:themeColor="text1"/>
          <w:kern w:val="0"/>
          <w:szCs w:val="32"/>
          <w14:textFill>
            <w14:solidFill>
              <w14:schemeClr w14:val="tx1"/>
            </w14:solidFill>
          </w14:textFill>
        </w:rPr>
        <w:t>迭代升级，支持规模以上工业企业开展基础级智能工厂建设。聚焦“生态文旅、现代物流、现代商贸”三大服务业优势产业，积极培育数字旅游、数字金融、数字商贸、数字贸易等现代服务业新业态新模式，</w:t>
      </w:r>
      <w:r>
        <w:rPr>
          <w:rFonts w:ascii="Times New Roman" w:hAnsi="Times New Roman" w:eastAsia="仿宋_GB2312" w:cs="Times New Roman"/>
          <w:color w:val="000000" w:themeColor="text1"/>
          <w:kern w:val="0"/>
          <w:szCs w:val="32"/>
          <w14:textFill>
            <w14:solidFill>
              <w14:schemeClr w14:val="tx1"/>
            </w14:solidFill>
          </w14:textFill>
        </w:rPr>
        <w:t>提升服务业低碳发展水平。到</w:t>
      </w:r>
      <w:r>
        <w:rPr>
          <w:rFonts w:hint="eastAsia" w:ascii="Times New Roman" w:hAnsi="Times New Roman" w:eastAsia="仿宋_GB2312" w:cs="Times New Roman"/>
          <w:color w:val="000000" w:themeColor="text1"/>
          <w:kern w:val="0"/>
          <w:szCs w:val="32"/>
          <w14:textFill>
            <w14:solidFill>
              <w14:schemeClr w14:val="tx1"/>
            </w14:solidFill>
          </w14:textFill>
        </w:rPr>
        <w:t>2026年底，力争创建智能工厂12家，建成省级以上绿色工厂45家，全年推动全县实施500万元以上重点技改项目30个以上，农业机械化水平达95%，绿色优质农产品比重</w:t>
      </w:r>
      <w:r>
        <w:rPr>
          <w:rFonts w:ascii="Times New Roman" w:hAnsi="Times New Roman" w:eastAsia="仿宋_GB2312" w:cs="Times New Roman"/>
          <w:color w:val="000000" w:themeColor="text1"/>
          <w:kern w:val="0"/>
          <w:szCs w:val="32"/>
          <w14:textFill>
            <w14:solidFill>
              <w14:schemeClr w14:val="tx1"/>
            </w14:solidFill>
          </w14:textFill>
        </w:rPr>
        <w:t>稳定在</w:t>
      </w:r>
      <w:r>
        <w:rPr>
          <w:rFonts w:hint="eastAsia" w:ascii="Times New Roman" w:hAnsi="Times New Roman" w:eastAsia="仿宋_GB2312" w:cs="Times New Roman"/>
          <w:color w:val="000000" w:themeColor="text1"/>
          <w:kern w:val="0"/>
          <w:szCs w:val="32"/>
          <w14:textFill>
            <w14:solidFill>
              <w14:schemeClr w14:val="tx1"/>
            </w14:solidFill>
          </w14:textFill>
        </w:rPr>
        <w:t>90%。到2030年，推动规上制造业企业智能车间改造，力争达到基础级及以上智能工厂水平的规上工业企业覆盖率约50%，力争建成省级以上绿色工厂65家以上，年均推动全县实施500万元以上重点技改项目40个以上，农业机械化水平达95.5%，绿色优质农产品比重达91%。</w:t>
      </w:r>
      <w:r>
        <w:rPr>
          <w:rStyle w:val="57"/>
          <w:rFonts w:ascii="Times New Roman" w:hAnsi="Times New Roman"/>
          <w:kern w:val="0"/>
        </w:rPr>
        <w:t>（县农业农村局、县工信局、县商务局、县文广旅游局</w:t>
      </w:r>
      <w:r>
        <w:rPr>
          <w:rStyle w:val="57"/>
          <w:rFonts w:hint="eastAsia" w:ascii="Times New Roman" w:hAnsi="Times New Roman"/>
          <w:kern w:val="0"/>
        </w:rPr>
        <w:t>按职责分工负责</w:t>
      </w:r>
      <w:r>
        <w:rPr>
          <w:rStyle w:val="57"/>
          <w:rFonts w:ascii="Times New Roman" w:hAnsi="Times New Roman"/>
          <w:kern w:val="0"/>
        </w:rPr>
        <w:t>）</w:t>
      </w:r>
    </w:p>
    <w:p w14:paraId="1395BBFB">
      <w:pPr>
        <w:overflowPunct w:val="0"/>
        <w:autoSpaceDE w:val="0"/>
        <w:autoSpaceDN w:val="0"/>
        <w:adjustRightInd w:val="0"/>
        <w:snapToGrid w:val="0"/>
        <w:spacing w:line="560" w:lineRule="exact"/>
        <w:ind w:firstLine="643" w:firstLineChars="200"/>
        <w:outlineLvl w:val="2"/>
        <w:rPr>
          <w:rFonts w:ascii="Times New Roman" w:hAnsi="Times New Roman" w:eastAsia="方正仿宋_GBK" w:cs="Times New Roman"/>
          <w:kern w:val="0"/>
          <w:szCs w:val="32"/>
        </w:rPr>
      </w:pPr>
      <w:r>
        <w:rPr>
          <w:rStyle w:val="51"/>
          <w:rFonts w:hint="eastAsia"/>
          <w:b/>
          <w:kern w:val="0"/>
        </w:rPr>
        <w:t>3</w:t>
      </w:r>
      <w:r>
        <w:rPr>
          <w:rStyle w:val="51"/>
          <w:b/>
          <w:kern w:val="0"/>
        </w:rPr>
        <w:t>．坚决遏制</w:t>
      </w:r>
      <w:r>
        <w:rPr>
          <w:rStyle w:val="51"/>
          <w:rFonts w:hint="eastAsia"/>
          <w:b/>
          <w:kern w:val="0"/>
        </w:rPr>
        <w:t>高耗能、高排放、低水平项目盲目发展。</w:t>
      </w:r>
      <w:r>
        <w:rPr>
          <w:rFonts w:ascii="Times New Roman" w:hAnsi="Times New Roman" w:eastAsia="仿宋_GB2312" w:cs="Times New Roman"/>
          <w:color w:val="000000" w:themeColor="text1"/>
          <w:kern w:val="0"/>
          <w:szCs w:val="32"/>
          <w14:textFill>
            <w14:solidFill>
              <w14:schemeClr w14:val="tx1"/>
            </w14:solidFill>
          </w14:textFill>
        </w:rPr>
        <w:t>严格落实国家落后产能退出指导意见，</w:t>
      </w:r>
      <w:r>
        <w:rPr>
          <w:rFonts w:hint="eastAsia" w:ascii="Times New Roman" w:hAnsi="Times New Roman" w:eastAsia="仿宋_GB2312" w:cs="Times New Roman"/>
          <w:color w:val="000000" w:themeColor="text1"/>
          <w:kern w:val="0"/>
          <w:szCs w:val="32"/>
          <w14:textFill>
            <w14:solidFill>
              <w14:schemeClr w14:val="tx1"/>
            </w14:solidFill>
          </w14:textFill>
        </w:rPr>
        <w:t>强化长效管理，</w:t>
      </w:r>
      <w:r>
        <w:rPr>
          <w:rFonts w:ascii="Times New Roman" w:hAnsi="Times New Roman" w:eastAsia="仿宋_GB2312" w:cs="Times New Roman"/>
          <w:color w:val="000000" w:themeColor="text1"/>
          <w:kern w:val="0"/>
          <w:szCs w:val="32"/>
          <w14:textFill>
            <w14:solidFill>
              <w14:schemeClr w14:val="tx1"/>
            </w14:solidFill>
          </w14:textFill>
        </w:rPr>
        <w:t>依法淘汰落后产能、落后工艺、落后产品。加强源头管控，强化常态化监管</w:t>
      </w:r>
      <w:r>
        <w:rPr>
          <w:rFonts w:hint="eastAsia" w:ascii="Times New Roman" w:hAnsi="Times New Roman" w:eastAsia="仿宋_GB2312" w:cs="Times New Roman"/>
          <w:color w:val="000000" w:themeColor="text1"/>
          <w:kern w:val="0"/>
          <w:szCs w:val="32"/>
          <w14:textFill>
            <w14:solidFill>
              <w14:schemeClr w14:val="tx1"/>
            </w14:solidFill>
          </w14:textFill>
        </w:rPr>
        <w:t>，</w:t>
      </w:r>
      <w:r>
        <w:rPr>
          <w:rFonts w:ascii="Times New Roman" w:hAnsi="Times New Roman" w:eastAsia="仿宋_GB2312" w:cs="Times New Roman"/>
          <w:color w:val="000000" w:themeColor="text1"/>
          <w:kern w:val="0"/>
          <w:szCs w:val="32"/>
          <w14:textFill>
            <w14:solidFill>
              <w14:schemeClr w14:val="tx1"/>
            </w14:solidFill>
          </w14:textFill>
        </w:rPr>
        <w:t>从严控制增量项目，科学稳妥推进拟建项目</w:t>
      </w:r>
      <w:r>
        <w:rPr>
          <w:rFonts w:hint="eastAsia" w:ascii="Times New Roman" w:hAnsi="Times New Roman" w:eastAsia="仿宋_GB2312" w:cs="Times New Roman"/>
          <w:color w:val="000000" w:themeColor="text1"/>
          <w:kern w:val="0"/>
          <w:szCs w:val="32"/>
          <w14:textFill>
            <w14:solidFill>
              <w14:schemeClr w14:val="tx1"/>
            </w14:solidFill>
          </w14:textFill>
        </w:rPr>
        <w:t>，</w:t>
      </w:r>
      <w:r>
        <w:rPr>
          <w:rFonts w:ascii="Times New Roman" w:hAnsi="Times New Roman" w:eastAsia="仿宋_GB2312" w:cs="Times New Roman"/>
          <w:color w:val="000000" w:themeColor="text1"/>
          <w:kern w:val="0"/>
          <w:szCs w:val="32"/>
          <w14:textFill>
            <w14:solidFill>
              <w14:schemeClr w14:val="tx1"/>
            </w14:solidFill>
          </w14:textFill>
        </w:rPr>
        <w:t>落实高耗能高排放项目能耗准入标准</w:t>
      </w:r>
      <w:r>
        <w:rPr>
          <w:rFonts w:hint="eastAsia" w:ascii="Times New Roman" w:hAnsi="Times New Roman" w:eastAsia="仿宋_GB2312" w:cs="Times New Roman"/>
          <w:color w:val="000000" w:themeColor="text1"/>
          <w:kern w:val="0"/>
          <w:szCs w:val="32"/>
          <w14:textFill>
            <w14:solidFill>
              <w14:schemeClr w14:val="tx1"/>
            </w14:solidFill>
          </w14:textFill>
        </w:rPr>
        <w:t>，健全完善遏制高耗能、高排放、低水平项目盲目发展长效机制</w:t>
      </w:r>
      <w:r>
        <w:rPr>
          <w:rFonts w:ascii="Times New Roman" w:hAnsi="Times New Roman" w:eastAsia="仿宋_GB2312" w:cs="Times New Roman"/>
          <w:color w:val="000000" w:themeColor="text1"/>
          <w:kern w:val="0"/>
          <w:szCs w:val="32"/>
          <w14:textFill>
            <w14:solidFill>
              <w14:schemeClr w14:val="tx1"/>
            </w14:solidFill>
          </w14:textFill>
        </w:rPr>
        <w:t>。分类实施</w:t>
      </w:r>
      <w:r>
        <w:rPr>
          <w:rFonts w:hint="eastAsia" w:ascii="Times New Roman" w:hAnsi="Times New Roman" w:eastAsia="仿宋_GB2312" w:cs="Times New Roman"/>
          <w:color w:val="000000" w:themeColor="text1"/>
          <w:kern w:val="0"/>
          <w:szCs w:val="32"/>
          <w14:textFill>
            <w14:solidFill>
              <w14:schemeClr w14:val="tx1"/>
            </w14:solidFill>
          </w14:textFill>
        </w:rPr>
        <w:t>“</w:t>
      </w:r>
      <w:r>
        <w:rPr>
          <w:rFonts w:ascii="Times New Roman" w:hAnsi="Times New Roman" w:eastAsia="仿宋_GB2312" w:cs="Times New Roman"/>
          <w:color w:val="000000" w:themeColor="text1"/>
          <w:kern w:val="0"/>
          <w:szCs w:val="32"/>
          <w14:textFill>
            <w14:solidFill>
              <w14:schemeClr w14:val="tx1"/>
            </w14:solidFill>
          </w14:textFill>
        </w:rPr>
        <w:t>散乱污</w:t>
      </w:r>
      <w:r>
        <w:rPr>
          <w:rFonts w:hint="eastAsia" w:ascii="Times New Roman" w:hAnsi="Times New Roman" w:eastAsia="仿宋_GB2312" w:cs="Times New Roman"/>
          <w:color w:val="000000" w:themeColor="text1"/>
          <w:kern w:val="0"/>
          <w:szCs w:val="32"/>
          <w14:textFill>
            <w14:solidFill>
              <w14:schemeClr w14:val="tx1"/>
            </w14:solidFill>
          </w14:textFill>
        </w:rPr>
        <w:t>”</w:t>
      </w:r>
      <w:r>
        <w:rPr>
          <w:rFonts w:ascii="Times New Roman" w:hAnsi="Times New Roman" w:eastAsia="仿宋_GB2312" w:cs="Times New Roman"/>
          <w:color w:val="000000" w:themeColor="text1"/>
          <w:kern w:val="0"/>
          <w:szCs w:val="32"/>
          <w14:textFill>
            <w14:solidFill>
              <w14:schemeClr w14:val="tx1"/>
            </w14:solidFill>
          </w14:textFill>
        </w:rPr>
        <w:t>企业关停取缔、整改提升等措施。</w:t>
      </w:r>
      <w:r>
        <w:rPr>
          <w:rStyle w:val="57"/>
          <w:rFonts w:ascii="Times New Roman" w:hAnsi="Times New Roman"/>
          <w:kern w:val="0"/>
        </w:rPr>
        <w:t>（责任单位：县发改委、县工信局牵头，县数据局、县统计局、金湖生态环境局、县供电公司</w:t>
      </w:r>
      <w:r>
        <w:rPr>
          <w:rStyle w:val="57"/>
          <w:rFonts w:hint="eastAsia" w:ascii="Times New Roman" w:hAnsi="Times New Roman"/>
          <w:kern w:val="0"/>
        </w:rPr>
        <w:t>按职责分工负责</w:t>
      </w:r>
      <w:r>
        <w:rPr>
          <w:rStyle w:val="57"/>
          <w:rFonts w:ascii="Times New Roman" w:hAnsi="Times New Roman"/>
          <w:kern w:val="0"/>
        </w:rPr>
        <w:t>）</w:t>
      </w:r>
    </w:p>
    <w:bookmarkEnd w:id="13"/>
    <w:bookmarkEnd w:id="14"/>
    <w:p w14:paraId="4D056165">
      <w:pPr>
        <w:pStyle w:val="52"/>
        <w:overflowPunct w:val="0"/>
        <w:autoSpaceDE w:val="0"/>
        <w:autoSpaceDN w:val="0"/>
        <w:spacing w:line="560" w:lineRule="exact"/>
        <w:ind w:firstLine="640"/>
        <w:outlineLvl w:val="1"/>
        <w:rPr>
          <w:rFonts w:ascii="Times New Roman"/>
          <w:b w:val="0"/>
          <w:kern w:val="0"/>
        </w:rPr>
      </w:pPr>
      <w:bookmarkStart w:id="15" w:name="_Toc112686284"/>
      <w:r>
        <w:rPr>
          <w:rFonts w:ascii="Times New Roman"/>
          <w:b w:val="0"/>
          <w:kern w:val="0"/>
        </w:rPr>
        <w:t>（二）能源</w:t>
      </w:r>
      <w:r>
        <w:rPr>
          <w:rFonts w:hint="eastAsia" w:ascii="Times New Roman"/>
          <w:b w:val="0"/>
          <w:kern w:val="0"/>
        </w:rPr>
        <w:t>低碳</w:t>
      </w:r>
      <w:r>
        <w:rPr>
          <w:rFonts w:ascii="Times New Roman"/>
          <w:b w:val="0"/>
          <w:kern w:val="0"/>
        </w:rPr>
        <w:t>转型</w:t>
      </w:r>
      <w:bookmarkEnd w:id="11"/>
      <w:bookmarkEnd w:id="15"/>
      <w:r>
        <w:rPr>
          <w:rFonts w:hint="eastAsia" w:ascii="Times New Roman"/>
          <w:b w:val="0"/>
          <w:kern w:val="0"/>
        </w:rPr>
        <w:t>行动</w:t>
      </w:r>
    </w:p>
    <w:p w14:paraId="367D0757">
      <w:pPr>
        <w:overflowPunct w:val="0"/>
        <w:autoSpaceDE w:val="0"/>
        <w:autoSpaceDN w:val="0"/>
        <w:adjustRightInd w:val="0"/>
        <w:snapToGrid w:val="0"/>
        <w:spacing w:line="560" w:lineRule="exact"/>
        <w:ind w:firstLine="643" w:firstLineChars="200"/>
        <w:outlineLvl w:val="2"/>
        <w:rPr>
          <w:rFonts w:ascii="Times New Roman" w:hAnsi="Times New Roman" w:eastAsia="方正仿宋_GBK" w:cs="Times New Roman"/>
          <w:kern w:val="0"/>
          <w:szCs w:val="32"/>
        </w:rPr>
      </w:pPr>
      <w:bookmarkStart w:id="16" w:name="_Toc112686286"/>
      <w:bookmarkStart w:id="17" w:name="_Toc109398361"/>
      <w:r>
        <w:rPr>
          <w:rStyle w:val="51"/>
          <w:b/>
          <w:kern w:val="0"/>
        </w:rPr>
        <w:t>1．</w:t>
      </w:r>
      <w:r>
        <w:rPr>
          <w:rStyle w:val="51"/>
          <w:rFonts w:hint="eastAsia"/>
          <w:b/>
          <w:kern w:val="0"/>
        </w:rPr>
        <w:t>大力发展非化石能源</w:t>
      </w:r>
      <w:r>
        <w:rPr>
          <w:rStyle w:val="51"/>
          <w:b/>
          <w:kern w:val="0"/>
        </w:rPr>
        <w:t>。</w:t>
      </w:r>
      <w:r>
        <w:rPr>
          <w:rFonts w:ascii="Times New Roman" w:hAnsi="Times New Roman" w:eastAsia="仿宋_GB2312" w:cs="Times New Roman"/>
          <w:color w:val="000000" w:themeColor="text1"/>
          <w:kern w:val="0"/>
          <w:szCs w:val="32"/>
          <w14:textFill>
            <w14:solidFill>
              <w14:schemeClr w14:val="tx1"/>
            </w14:solidFill>
          </w14:textFill>
        </w:rPr>
        <w:t>提高可再生能源规模化利用基础设施水平，</w:t>
      </w:r>
      <w:r>
        <w:rPr>
          <w:rFonts w:hint="eastAsia" w:ascii="Times New Roman" w:hAnsi="Times New Roman" w:eastAsia="仿宋_GB2312" w:cs="Times New Roman"/>
          <w:color w:val="000000" w:themeColor="text1"/>
          <w:kern w:val="0"/>
          <w:szCs w:val="32"/>
          <w14:textFill>
            <w14:solidFill>
              <w14:schemeClr w14:val="tx1"/>
            </w14:solidFill>
          </w14:textFill>
        </w:rPr>
        <w:t>稳步推进新能源资源开发利用</w:t>
      </w:r>
      <w:r>
        <w:rPr>
          <w:rFonts w:ascii="Times New Roman" w:hAnsi="Times New Roman" w:eastAsia="仿宋_GB2312" w:cs="Times New Roman"/>
          <w:color w:val="000000" w:themeColor="text1"/>
          <w:kern w:val="0"/>
          <w:szCs w:val="32"/>
          <w14:textFill>
            <w14:solidFill>
              <w14:schemeClr w14:val="tx1"/>
            </w14:solidFill>
          </w14:textFill>
        </w:rPr>
        <w:t>，实现全县供能方式多元化、清洁化</w:t>
      </w:r>
      <w:r>
        <w:rPr>
          <w:rFonts w:hint="eastAsia" w:ascii="Times New Roman" w:hAnsi="Times New Roman" w:eastAsia="仿宋_GB2312" w:cs="Times New Roman"/>
          <w:color w:val="000000" w:themeColor="text1"/>
          <w:kern w:val="0"/>
          <w:szCs w:val="32"/>
          <w14:textFill>
            <w14:solidFill>
              <w14:schemeClr w14:val="tx1"/>
            </w14:solidFill>
          </w14:textFill>
        </w:rPr>
        <w:t>。</w:t>
      </w:r>
      <w:r>
        <w:rPr>
          <w:rFonts w:ascii="Times New Roman" w:hAnsi="Times New Roman" w:eastAsia="仿宋_GB2312" w:cs="Times New Roman"/>
          <w:color w:val="000000" w:themeColor="text1"/>
          <w:kern w:val="0"/>
          <w:szCs w:val="32"/>
          <w14:textFill>
            <w14:solidFill>
              <w14:schemeClr w14:val="tx1"/>
            </w14:solidFill>
          </w14:textFill>
        </w:rPr>
        <w:t>落实推广绿色电力证书交易，引领全社会提升绿色电力消费。</w:t>
      </w:r>
      <w:r>
        <w:rPr>
          <w:rFonts w:hint="eastAsia" w:ascii="Times New Roman" w:hAnsi="Times New Roman" w:eastAsia="仿宋_GB2312" w:cs="Times New Roman"/>
          <w:color w:val="000000" w:themeColor="text1"/>
          <w:kern w:val="0"/>
          <w:szCs w:val="32"/>
          <w14:textFill>
            <w14:solidFill>
              <w14:schemeClr w14:val="tx1"/>
            </w14:solidFill>
          </w14:textFill>
        </w:rPr>
        <w:t>坚持集中式与分布式并举，因地制宜推进集中式光伏建设，规范有序发展分布式光伏，持续扩大风电装机规模。</w:t>
      </w:r>
      <w:r>
        <w:rPr>
          <w:rFonts w:ascii="Times New Roman" w:hAnsi="Times New Roman" w:eastAsia="仿宋_GB2312" w:cs="Times New Roman"/>
          <w:color w:val="000000" w:themeColor="text1"/>
          <w:kern w:val="0"/>
          <w:szCs w:val="32"/>
          <w14:textFill>
            <w14:solidFill>
              <w14:schemeClr w14:val="tx1"/>
            </w14:solidFill>
          </w14:textFill>
        </w:rPr>
        <w:t>到202</w:t>
      </w:r>
      <w:r>
        <w:rPr>
          <w:rFonts w:hint="eastAsia" w:ascii="Times New Roman" w:hAnsi="Times New Roman" w:eastAsia="仿宋_GB2312" w:cs="Times New Roman"/>
          <w:color w:val="000000" w:themeColor="text1"/>
          <w:kern w:val="0"/>
          <w:szCs w:val="32"/>
          <w14:textFill>
            <w14:solidFill>
              <w14:schemeClr w14:val="tx1"/>
            </w14:solidFill>
          </w14:textFill>
        </w:rPr>
        <w:t>6</w:t>
      </w:r>
      <w:r>
        <w:rPr>
          <w:rFonts w:ascii="Times New Roman" w:hAnsi="Times New Roman" w:eastAsia="仿宋_GB2312" w:cs="Times New Roman"/>
          <w:color w:val="000000" w:themeColor="text1"/>
          <w:kern w:val="0"/>
          <w:szCs w:val="32"/>
          <w14:textFill>
            <w14:solidFill>
              <w14:schemeClr w14:val="tx1"/>
            </w14:solidFill>
          </w14:textFill>
        </w:rPr>
        <w:t>年底，力争全县可再生能源年</w:t>
      </w:r>
      <w:r>
        <w:rPr>
          <w:rFonts w:hint="eastAsia" w:ascii="Times New Roman" w:hAnsi="Times New Roman" w:eastAsia="仿宋_GB2312" w:cs="Times New Roman"/>
          <w:color w:val="000000" w:themeColor="text1"/>
          <w:kern w:val="0"/>
          <w:szCs w:val="32"/>
          <w14:textFill>
            <w14:solidFill>
              <w14:schemeClr w14:val="tx1"/>
            </w14:solidFill>
          </w14:textFill>
        </w:rPr>
        <w:t>度</w:t>
      </w:r>
      <w:r>
        <w:rPr>
          <w:rFonts w:ascii="Times New Roman" w:hAnsi="Times New Roman" w:eastAsia="仿宋_GB2312" w:cs="Times New Roman"/>
          <w:color w:val="000000" w:themeColor="text1"/>
          <w:kern w:val="0"/>
          <w:szCs w:val="32"/>
          <w14:textFill>
            <w14:solidFill>
              <w14:schemeClr w14:val="tx1"/>
            </w14:solidFill>
          </w14:textFill>
        </w:rPr>
        <w:t>发电量比2020年增</w:t>
      </w:r>
      <w:r>
        <w:rPr>
          <w:rFonts w:hint="eastAsia" w:ascii="Times New Roman" w:hAnsi="Times New Roman" w:eastAsia="仿宋_GB2312" w:cs="Times New Roman"/>
          <w:color w:val="000000" w:themeColor="text1"/>
          <w:kern w:val="0"/>
          <w:szCs w:val="32"/>
          <w14:textFill>
            <w14:solidFill>
              <w14:schemeClr w14:val="tx1"/>
            </w14:solidFill>
          </w14:textFill>
        </w:rPr>
        <w:t>至约4.5</w:t>
      </w:r>
      <w:r>
        <w:rPr>
          <w:rFonts w:ascii="Times New Roman" w:hAnsi="Times New Roman" w:eastAsia="仿宋_GB2312" w:cs="Times New Roman"/>
          <w:color w:val="000000" w:themeColor="text1"/>
          <w:kern w:val="0"/>
          <w:szCs w:val="32"/>
          <w14:textFill>
            <w14:solidFill>
              <w14:schemeClr w14:val="tx1"/>
            </w14:solidFill>
          </w14:textFill>
        </w:rPr>
        <w:t>倍，突破</w:t>
      </w:r>
      <w:r>
        <w:rPr>
          <w:rFonts w:hint="eastAsia" w:ascii="Times New Roman" w:hAnsi="Times New Roman" w:eastAsia="仿宋_GB2312" w:cs="Times New Roman"/>
          <w:color w:val="000000" w:themeColor="text1"/>
          <w:kern w:val="0"/>
          <w:szCs w:val="32"/>
          <w14:textFill>
            <w14:solidFill>
              <w14:schemeClr w14:val="tx1"/>
            </w14:solidFill>
          </w14:textFill>
        </w:rPr>
        <w:t>27</w:t>
      </w:r>
      <w:r>
        <w:rPr>
          <w:rFonts w:ascii="Times New Roman" w:hAnsi="Times New Roman" w:eastAsia="仿宋_GB2312" w:cs="Times New Roman"/>
          <w:color w:val="000000" w:themeColor="text1"/>
          <w:kern w:val="0"/>
          <w:szCs w:val="32"/>
          <w14:textFill>
            <w14:solidFill>
              <w14:schemeClr w14:val="tx1"/>
            </w14:solidFill>
          </w14:textFill>
        </w:rPr>
        <w:t>亿千瓦时。到20</w:t>
      </w:r>
      <w:r>
        <w:rPr>
          <w:rFonts w:hint="eastAsia" w:ascii="Times New Roman" w:hAnsi="Times New Roman" w:eastAsia="仿宋_GB2312" w:cs="Times New Roman"/>
          <w:color w:val="000000" w:themeColor="text1"/>
          <w:kern w:val="0"/>
          <w:szCs w:val="32"/>
          <w14:textFill>
            <w14:solidFill>
              <w14:schemeClr w14:val="tx1"/>
            </w14:solidFill>
          </w14:textFill>
        </w:rPr>
        <w:t>30</w:t>
      </w:r>
      <w:r>
        <w:rPr>
          <w:rFonts w:ascii="Times New Roman" w:hAnsi="Times New Roman" w:eastAsia="仿宋_GB2312" w:cs="Times New Roman"/>
          <w:color w:val="000000" w:themeColor="text1"/>
          <w:kern w:val="0"/>
          <w:szCs w:val="32"/>
          <w14:textFill>
            <w14:solidFill>
              <w14:schemeClr w14:val="tx1"/>
            </w14:solidFill>
          </w14:textFill>
        </w:rPr>
        <w:t>年，力争全县可再生能源年</w:t>
      </w:r>
      <w:r>
        <w:rPr>
          <w:rFonts w:hint="eastAsia" w:ascii="Times New Roman" w:hAnsi="Times New Roman" w:eastAsia="仿宋_GB2312" w:cs="Times New Roman"/>
          <w:color w:val="000000" w:themeColor="text1"/>
          <w:kern w:val="0"/>
          <w:szCs w:val="32"/>
          <w14:textFill>
            <w14:solidFill>
              <w14:schemeClr w14:val="tx1"/>
            </w14:solidFill>
          </w14:textFill>
        </w:rPr>
        <w:t>度</w:t>
      </w:r>
      <w:r>
        <w:rPr>
          <w:rFonts w:ascii="Times New Roman" w:hAnsi="Times New Roman" w:eastAsia="仿宋_GB2312" w:cs="Times New Roman"/>
          <w:color w:val="000000" w:themeColor="text1"/>
          <w:kern w:val="0"/>
          <w:szCs w:val="32"/>
          <w14:textFill>
            <w14:solidFill>
              <w14:schemeClr w14:val="tx1"/>
            </w14:solidFill>
          </w14:textFill>
        </w:rPr>
        <w:t>发电量比2020年增</w:t>
      </w:r>
      <w:r>
        <w:rPr>
          <w:rFonts w:hint="eastAsia" w:ascii="Times New Roman" w:hAnsi="Times New Roman" w:eastAsia="仿宋_GB2312" w:cs="Times New Roman"/>
          <w:color w:val="000000" w:themeColor="text1"/>
          <w:kern w:val="0"/>
          <w:szCs w:val="32"/>
          <w14:textFill>
            <w14:solidFill>
              <w14:schemeClr w14:val="tx1"/>
            </w14:solidFill>
          </w14:textFill>
        </w:rPr>
        <w:t>至约6</w:t>
      </w:r>
      <w:r>
        <w:rPr>
          <w:rFonts w:ascii="Times New Roman" w:hAnsi="Times New Roman" w:eastAsia="仿宋_GB2312" w:cs="Times New Roman"/>
          <w:color w:val="000000" w:themeColor="text1"/>
          <w:kern w:val="0"/>
          <w:szCs w:val="32"/>
          <w14:textFill>
            <w14:solidFill>
              <w14:schemeClr w14:val="tx1"/>
            </w14:solidFill>
          </w14:textFill>
        </w:rPr>
        <w:t>倍，突破</w:t>
      </w:r>
      <w:r>
        <w:rPr>
          <w:rFonts w:hint="eastAsia" w:ascii="Times New Roman" w:hAnsi="Times New Roman" w:eastAsia="仿宋_GB2312" w:cs="Times New Roman"/>
          <w:color w:val="000000" w:themeColor="text1"/>
          <w:kern w:val="0"/>
          <w:szCs w:val="32"/>
          <w14:textFill>
            <w14:solidFill>
              <w14:schemeClr w14:val="tx1"/>
            </w14:solidFill>
          </w14:textFill>
        </w:rPr>
        <w:t>35</w:t>
      </w:r>
      <w:r>
        <w:rPr>
          <w:rFonts w:ascii="Times New Roman" w:hAnsi="Times New Roman" w:eastAsia="仿宋_GB2312" w:cs="Times New Roman"/>
          <w:color w:val="000000" w:themeColor="text1"/>
          <w:kern w:val="0"/>
          <w:szCs w:val="32"/>
          <w14:textFill>
            <w14:solidFill>
              <w14:schemeClr w14:val="tx1"/>
            </w14:solidFill>
          </w14:textFill>
        </w:rPr>
        <w:t>亿千瓦时，</w:t>
      </w:r>
      <w:r>
        <w:rPr>
          <w:rFonts w:hint="eastAsia" w:ascii="Times New Roman" w:hAnsi="Times New Roman" w:eastAsia="仿宋_GB2312" w:cs="Times New Roman"/>
          <w:color w:val="000000" w:themeColor="text1"/>
          <w:kern w:val="0"/>
          <w:szCs w:val="32"/>
          <w14:textFill>
            <w14:solidFill>
              <w14:schemeClr w14:val="tx1"/>
            </w14:solidFill>
          </w14:textFill>
        </w:rPr>
        <w:t>保持</w:t>
      </w:r>
      <w:r>
        <w:rPr>
          <w:rFonts w:ascii="Times New Roman" w:hAnsi="Times New Roman" w:eastAsia="仿宋_GB2312" w:cs="Times New Roman"/>
          <w:color w:val="000000" w:themeColor="text1"/>
          <w:kern w:val="0"/>
          <w:szCs w:val="32"/>
          <w14:textFill>
            <w14:solidFill>
              <w14:schemeClr w14:val="tx1"/>
            </w14:solidFill>
          </w14:textFill>
        </w:rPr>
        <w:t>非化石能源装机占电力装机规模比重高于</w:t>
      </w:r>
      <w:r>
        <w:rPr>
          <w:rFonts w:hint="eastAsia" w:ascii="Times New Roman" w:hAnsi="Times New Roman" w:eastAsia="仿宋_GB2312" w:cs="Times New Roman"/>
          <w:color w:val="000000" w:themeColor="text1"/>
          <w:kern w:val="0"/>
          <w:szCs w:val="32"/>
          <w14:textFill>
            <w14:solidFill>
              <w14:schemeClr w14:val="tx1"/>
            </w14:solidFill>
          </w14:textFill>
        </w:rPr>
        <w:t>90%</w:t>
      </w:r>
      <w:r>
        <w:rPr>
          <w:rFonts w:ascii="Times New Roman" w:hAnsi="Times New Roman" w:eastAsia="仿宋_GB2312" w:cs="Times New Roman"/>
          <w:color w:val="000000" w:themeColor="text1"/>
          <w:kern w:val="0"/>
          <w:szCs w:val="32"/>
          <w14:textFill>
            <w14:solidFill>
              <w14:schemeClr w14:val="tx1"/>
            </w14:solidFill>
          </w14:textFill>
        </w:rPr>
        <w:t>，持续居全市前列。</w:t>
      </w:r>
      <w:r>
        <w:rPr>
          <w:rStyle w:val="57"/>
          <w:rFonts w:ascii="Times New Roman" w:hAnsi="Times New Roman"/>
          <w:kern w:val="0"/>
        </w:rPr>
        <w:t>（县发改委</w:t>
      </w:r>
      <w:r>
        <w:rPr>
          <w:rStyle w:val="57"/>
          <w:rFonts w:hint="eastAsia" w:ascii="Times New Roman" w:hAnsi="Times New Roman"/>
          <w:kern w:val="0"/>
        </w:rPr>
        <w:t>牵头，</w:t>
      </w:r>
      <w:r>
        <w:rPr>
          <w:rStyle w:val="57"/>
          <w:rFonts w:ascii="Times New Roman" w:hAnsi="Times New Roman"/>
          <w:kern w:val="0"/>
        </w:rPr>
        <w:t>县工信局、县住建局、县农业农村局、县数据局、金湖生态环境局、县供电公司</w:t>
      </w:r>
      <w:r>
        <w:rPr>
          <w:rStyle w:val="57"/>
          <w:rFonts w:hint="eastAsia" w:ascii="Times New Roman" w:hAnsi="Times New Roman"/>
          <w:kern w:val="0"/>
        </w:rPr>
        <w:t>按职责分工负责</w:t>
      </w:r>
      <w:r>
        <w:rPr>
          <w:rStyle w:val="57"/>
          <w:rFonts w:ascii="Times New Roman" w:hAnsi="Times New Roman"/>
          <w:kern w:val="0"/>
        </w:rPr>
        <w:t>）</w:t>
      </w:r>
    </w:p>
    <w:p w14:paraId="6E80F172">
      <w:pPr>
        <w:overflowPunct w:val="0"/>
        <w:autoSpaceDE w:val="0"/>
        <w:autoSpaceDN w:val="0"/>
        <w:adjustRightInd w:val="0"/>
        <w:snapToGrid w:val="0"/>
        <w:spacing w:line="560" w:lineRule="exact"/>
        <w:ind w:firstLine="643" w:firstLineChars="200"/>
        <w:outlineLvl w:val="2"/>
        <w:rPr>
          <w:rStyle w:val="57"/>
          <w:rFonts w:ascii="Times New Roman" w:hAnsi="Times New Roman"/>
          <w:kern w:val="0"/>
        </w:rPr>
      </w:pPr>
      <w:r>
        <w:rPr>
          <w:rStyle w:val="51"/>
          <w:b/>
          <w:kern w:val="0"/>
        </w:rPr>
        <w:t>2．</w:t>
      </w:r>
      <w:r>
        <w:rPr>
          <w:rStyle w:val="51"/>
          <w:rFonts w:hint="eastAsia"/>
          <w:b/>
          <w:kern w:val="0"/>
        </w:rPr>
        <w:t>合理控制化石能源消费</w:t>
      </w:r>
      <w:r>
        <w:rPr>
          <w:rStyle w:val="51"/>
          <w:b/>
          <w:kern w:val="0"/>
        </w:rPr>
        <w:t>。</w:t>
      </w:r>
      <w:bookmarkEnd w:id="16"/>
      <w:bookmarkEnd w:id="17"/>
      <w:r>
        <w:rPr>
          <w:rFonts w:ascii="Times New Roman" w:hAnsi="Times New Roman" w:eastAsia="仿宋_GB2312" w:cs="Times New Roman"/>
          <w:color w:val="000000" w:themeColor="text1"/>
          <w:kern w:val="0"/>
          <w:szCs w:val="32"/>
          <w14:textFill>
            <w14:solidFill>
              <w14:schemeClr w14:val="tx1"/>
            </w14:solidFill>
          </w14:textFill>
        </w:rPr>
        <w:t>加强煤炭总量控制，继续保持规上工业企业零耗煤。保持石油消费处于合理区间，逐步调整汽油消费规模，提升终端燃油产品能效</w:t>
      </w:r>
      <w:r>
        <w:rPr>
          <w:rFonts w:hint="eastAsia" w:ascii="Times New Roman" w:hAnsi="Times New Roman" w:eastAsia="仿宋_GB2312" w:cs="Times New Roman"/>
          <w:color w:val="000000" w:themeColor="text1"/>
          <w:kern w:val="0"/>
          <w:szCs w:val="32"/>
          <w14:textFill>
            <w14:solidFill>
              <w14:schemeClr w14:val="tx1"/>
            </w14:solidFill>
          </w14:textFill>
        </w:rPr>
        <w:t>，加快油品利用场景向电能转变，有序推进电代油、电代气工作。</w:t>
      </w:r>
      <w:r>
        <w:rPr>
          <w:rFonts w:ascii="Times New Roman" w:hAnsi="Times New Roman" w:eastAsia="仿宋_GB2312" w:cs="Times New Roman"/>
          <w:color w:val="000000" w:themeColor="text1"/>
          <w:kern w:val="0"/>
          <w:szCs w:val="32"/>
          <w14:textFill>
            <w14:solidFill>
              <w14:schemeClr w14:val="tx1"/>
            </w14:solidFill>
          </w14:textFill>
        </w:rPr>
        <w:t>扩大天然气利用规模，优化天然气利用结构。有序引导天然气消费，合理引导工业用气，优先保障民生用气。大力推动天然气与多种能源融合发展，加快天然气基础设施建设和互联互通。鼓励和支持管道企业依照专项规划大力发展</w:t>
      </w:r>
      <w:r>
        <w:rPr>
          <w:rFonts w:hint="eastAsia" w:ascii="Times New Roman" w:hAnsi="Times New Roman" w:eastAsia="仿宋_GB2312" w:cs="Times New Roman"/>
          <w:color w:val="000000" w:themeColor="text1"/>
          <w:kern w:val="0"/>
          <w:szCs w:val="32"/>
          <w14:textFill>
            <w14:solidFill>
              <w14:schemeClr w14:val="tx1"/>
            </w14:solidFill>
          </w14:textFill>
        </w:rPr>
        <w:t>“</w:t>
      </w:r>
      <w:r>
        <w:rPr>
          <w:rFonts w:ascii="Times New Roman" w:hAnsi="Times New Roman" w:eastAsia="仿宋_GB2312" w:cs="Times New Roman"/>
          <w:color w:val="000000" w:themeColor="text1"/>
          <w:kern w:val="0"/>
          <w:szCs w:val="32"/>
          <w14:textFill>
            <w14:solidFill>
              <w14:schemeClr w14:val="tx1"/>
            </w14:solidFill>
          </w14:textFill>
        </w:rPr>
        <w:t>镇镇通</w:t>
      </w:r>
      <w:r>
        <w:rPr>
          <w:rFonts w:hint="eastAsia" w:ascii="Times New Roman" w:hAnsi="Times New Roman" w:eastAsia="仿宋_GB2312" w:cs="Times New Roman"/>
          <w:color w:val="000000" w:themeColor="text1"/>
          <w:kern w:val="0"/>
          <w:szCs w:val="32"/>
          <w14:textFill>
            <w14:solidFill>
              <w14:schemeClr w14:val="tx1"/>
            </w14:solidFill>
          </w14:textFill>
        </w:rPr>
        <w:t>”</w:t>
      </w:r>
      <w:r>
        <w:rPr>
          <w:rFonts w:ascii="Times New Roman" w:hAnsi="Times New Roman" w:eastAsia="仿宋_GB2312" w:cs="Times New Roman"/>
          <w:color w:val="000000" w:themeColor="text1"/>
          <w:kern w:val="0"/>
          <w:szCs w:val="32"/>
          <w14:textFill>
            <w14:solidFill>
              <w14:schemeClr w14:val="tx1"/>
            </w14:solidFill>
          </w14:textFill>
        </w:rPr>
        <w:t>燃气工程，统一布局、规范经营全县瓶装液化气供应站。</w:t>
      </w:r>
      <w:r>
        <w:rPr>
          <w:rFonts w:hint="eastAsia" w:ascii="Times New Roman" w:hAnsi="Times New Roman" w:eastAsia="仿宋_GB2312" w:cs="Times New Roman"/>
          <w:color w:val="000000" w:themeColor="text1"/>
          <w:kern w:val="0"/>
          <w:szCs w:val="32"/>
          <w14:textFill>
            <w14:solidFill>
              <w14:schemeClr w14:val="tx1"/>
            </w14:solidFill>
          </w14:textFill>
        </w:rPr>
        <w:t>按照因地制宜、管罐结合的原则，建设县域燃气中压一张网供气，逐步扩大管道城镇覆盖面。以现状金湖LNG气化站、银涂LNG气化站及规划金北LNG气化站为建设重点，提高应急储备能力。同时加强与周边淮安市区、盱眙县及天长市高中压管网互联互通、互保互供。</w:t>
      </w:r>
      <w:r>
        <w:rPr>
          <w:rFonts w:ascii="Times New Roman" w:hAnsi="Times New Roman" w:eastAsia="仿宋_GB2312" w:cs="Times New Roman"/>
          <w:color w:val="000000" w:themeColor="text1"/>
          <w:kern w:val="0"/>
          <w:szCs w:val="32"/>
          <w14:textFill>
            <w14:solidFill>
              <w14:schemeClr w14:val="tx1"/>
            </w14:solidFill>
          </w14:textFill>
        </w:rPr>
        <w:t>支持车船使用液化天然气作为燃料。</w:t>
      </w:r>
      <w:r>
        <w:rPr>
          <w:rStyle w:val="57"/>
          <w:rFonts w:ascii="Times New Roman" w:hAnsi="Times New Roman"/>
          <w:kern w:val="0"/>
        </w:rPr>
        <w:t>（县发改委、县工信局、县住建局、县交通局</w:t>
      </w:r>
      <w:r>
        <w:rPr>
          <w:rStyle w:val="57"/>
          <w:rFonts w:hint="eastAsia" w:ascii="Times New Roman" w:hAnsi="Times New Roman"/>
          <w:kern w:val="0"/>
        </w:rPr>
        <w:t>、</w:t>
      </w:r>
      <w:r>
        <w:rPr>
          <w:rStyle w:val="57"/>
          <w:rFonts w:ascii="Times New Roman" w:hAnsi="Times New Roman"/>
          <w:kern w:val="0"/>
        </w:rPr>
        <w:t>县商务局</w:t>
      </w:r>
      <w:r>
        <w:rPr>
          <w:rStyle w:val="57"/>
          <w:rFonts w:hint="eastAsia" w:ascii="Times New Roman" w:hAnsi="Times New Roman"/>
          <w:kern w:val="0"/>
        </w:rPr>
        <w:t>按职责分工负责</w:t>
      </w:r>
      <w:r>
        <w:rPr>
          <w:rStyle w:val="57"/>
          <w:rFonts w:ascii="Times New Roman" w:hAnsi="Times New Roman"/>
          <w:kern w:val="0"/>
        </w:rPr>
        <w:t>）</w:t>
      </w:r>
    </w:p>
    <w:p w14:paraId="32BDFAA8">
      <w:pPr>
        <w:overflowPunct w:val="0"/>
        <w:autoSpaceDE w:val="0"/>
        <w:autoSpaceDN w:val="0"/>
        <w:adjustRightInd w:val="0"/>
        <w:snapToGrid w:val="0"/>
        <w:spacing w:line="560" w:lineRule="exact"/>
        <w:ind w:firstLine="643" w:firstLineChars="200"/>
        <w:outlineLvl w:val="2"/>
        <w:rPr>
          <w:rFonts w:ascii="Times New Roman" w:hAnsi="Times New Roman" w:eastAsia="方正仿宋_GBK" w:cs="Times New Roman"/>
          <w:kern w:val="0"/>
          <w:szCs w:val="32"/>
        </w:rPr>
      </w:pPr>
      <w:r>
        <w:rPr>
          <w:rStyle w:val="51"/>
          <w:rFonts w:hint="eastAsia"/>
          <w:b/>
          <w:kern w:val="0"/>
        </w:rPr>
        <w:t>3</w:t>
      </w:r>
      <w:r>
        <w:rPr>
          <w:rStyle w:val="51"/>
          <w:b/>
          <w:kern w:val="0"/>
        </w:rPr>
        <w:t>．</w:t>
      </w:r>
      <w:r>
        <w:rPr>
          <w:rStyle w:val="51"/>
          <w:rFonts w:hint="eastAsia"/>
          <w:b/>
          <w:kern w:val="0"/>
        </w:rPr>
        <w:t>推进终端用能电力替代。</w:t>
      </w:r>
      <w:r>
        <w:rPr>
          <w:rFonts w:hint="eastAsia" w:ascii="Times New Roman" w:hAnsi="Times New Roman" w:eastAsia="仿宋_GB2312" w:cs="Times New Roman"/>
          <w:color w:val="000000" w:themeColor="text1"/>
          <w:kern w:val="0"/>
          <w:szCs w:val="32"/>
          <w14:textFill>
            <w14:solidFill>
              <w14:schemeClr w14:val="tx1"/>
            </w14:solidFill>
          </w14:textFill>
        </w:rPr>
        <w:t>科学做好化石能源对能源的保障兜底，在电力等新能源安全可靠替代的基础上实现传统能源逐步退出。做好应对极端天气、尖峰负荷等情况下的应急保供预案</w:t>
      </w:r>
      <w:r>
        <w:rPr>
          <w:rFonts w:hint="eastAsia" w:ascii="宋体" w:hAnsi="宋体" w:eastAsia="宋体" w:cs="宋体"/>
          <w:color w:val="000000" w:themeColor="text1"/>
          <w:kern w:val="0"/>
          <w:szCs w:val="32"/>
          <w14:textFill>
            <w14:solidFill>
              <w14:schemeClr w14:val="tx1"/>
            </w14:solidFill>
          </w14:textFill>
        </w:rPr>
        <w:t>﹐</w:t>
      </w:r>
      <w:r>
        <w:rPr>
          <w:rFonts w:hint="eastAsia" w:ascii="仿宋_GB2312" w:hAnsi="仿宋_GB2312" w:eastAsia="仿宋_GB2312" w:cs="仿宋_GB2312"/>
          <w:color w:val="000000" w:themeColor="text1"/>
          <w:kern w:val="0"/>
          <w:szCs w:val="32"/>
          <w14:textFill>
            <w14:solidFill>
              <w14:schemeClr w14:val="tx1"/>
            </w14:solidFill>
          </w14:textFill>
        </w:rPr>
        <w:t>提高电力系统应急处置和抗灾能力。</w:t>
      </w:r>
      <w:r>
        <w:rPr>
          <w:rFonts w:ascii="Times New Roman" w:hAnsi="Times New Roman" w:eastAsia="仿宋_GB2312" w:cs="Times New Roman"/>
          <w:color w:val="000000" w:themeColor="text1"/>
          <w:kern w:val="0"/>
          <w:szCs w:val="32"/>
          <w14:textFill>
            <w14:solidFill>
              <w14:schemeClr w14:val="tx1"/>
            </w14:solidFill>
          </w14:textFill>
        </w:rPr>
        <w:t>促进工业能源消费低碳化，提升工业电气化水平</w:t>
      </w:r>
      <w:r>
        <w:rPr>
          <w:rFonts w:hint="eastAsia" w:ascii="Times New Roman" w:hAnsi="Times New Roman" w:eastAsia="仿宋_GB2312" w:cs="Times New Roman"/>
          <w:color w:val="000000" w:themeColor="text1"/>
          <w:kern w:val="0"/>
          <w:szCs w:val="32"/>
          <w14:textFill>
            <w14:solidFill>
              <w14:schemeClr w14:val="tx1"/>
            </w14:solidFill>
          </w14:textFill>
        </w:rPr>
        <w:t>，加大移动机械电力替代</w:t>
      </w:r>
      <w:r>
        <w:rPr>
          <w:rFonts w:ascii="Times New Roman" w:hAnsi="Times New Roman" w:eastAsia="仿宋_GB2312" w:cs="Times New Roman"/>
          <w:color w:val="000000" w:themeColor="text1"/>
          <w:kern w:val="0"/>
          <w:szCs w:val="32"/>
          <w14:textFill>
            <w14:solidFill>
              <w14:schemeClr w14:val="tx1"/>
            </w14:solidFill>
          </w14:textFill>
        </w:rPr>
        <w:t>。</w:t>
      </w:r>
      <w:r>
        <w:rPr>
          <w:rFonts w:hint="eastAsia" w:ascii="Times New Roman" w:hAnsi="Times New Roman" w:eastAsia="仿宋_GB2312" w:cs="Times New Roman"/>
          <w:color w:val="000000" w:themeColor="text1"/>
          <w:kern w:val="0"/>
          <w:szCs w:val="32"/>
          <w14:textFill>
            <w14:solidFill>
              <w14:schemeClr w14:val="tx1"/>
            </w14:solidFill>
          </w14:textFill>
        </w:rPr>
        <w:t>农业领域，重点推广粮食电烘干、农业温室大棚热泵等技术。交通领域，持续推进电动汽车普及应用。引导服务业及城乡居民用电设备电气化。建筑领域，在大型商场、办公楼、酒店等建筑推广应用蓄热式电锅炉、热泵和电蓄冷技术以及可再生能源。</w:t>
      </w:r>
      <w:r>
        <w:rPr>
          <w:rStyle w:val="57"/>
          <w:rFonts w:ascii="Times New Roman" w:hAnsi="Times New Roman"/>
          <w:kern w:val="0"/>
        </w:rPr>
        <w:t>（</w:t>
      </w:r>
      <w:r>
        <w:rPr>
          <w:rStyle w:val="57"/>
          <w:rFonts w:hint="eastAsia" w:ascii="Times New Roman" w:hAnsi="Times New Roman"/>
          <w:kern w:val="0"/>
        </w:rPr>
        <w:t>县工信局、县住建局、县交通局、县农业农村局、县商务局、县供电公司按职责分工负责</w:t>
      </w:r>
      <w:r>
        <w:rPr>
          <w:rStyle w:val="57"/>
          <w:rFonts w:ascii="Times New Roman" w:hAnsi="Times New Roman"/>
          <w:kern w:val="0"/>
        </w:rPr>
        <w:t>）</w:t>
      </w:r>
    </w:p>
    <w:bookmarkEnd w:id="12"/>
    <w:p w14:paraId="2BB16EBE">
      <w:pPr>
        <w:pStyle w:val="52"/>
        <w:overflowPunct w:val="0"/>
        <w:autoSpaceDE w:val="0"/>
        <w:autoSpaceDN w:val="0"/>
        <w:spacing w:line="560" w:lineRule="exact"/>
        <w:ind w:firstLine="640"/>
        <w:outlineLvl w:val="1"/>
        <w:rPr>
          <w:rFonts w:ascii="Times New Roman"/>
          <w:b w:val="0"/>
          <w:kern w:val="0"/>
        </w:rPr>
      </w:pPr>
      <w:bookmarkStart w:id="18" w:name="_Toc112686288"/>
      <w:bookmarkStart w:id="19" w:name="_Toc95501356"/>
      <w:r>
        <w:rPr>
          <w:rFonts w:ascii="Times New Roman"/>
          <w:b w:val="0"/>
          <w:kern w:val="0"/>
        </w:rPr>
        <w:t>（三）</w:t>
      </w:r>
      <w:bookmarkEnd w:id="18"/>
      <w:r>
        <w:rPr>
          <w:rFonts w:hint="eastAsia" w:ascii="Times New Roman"/>
          <w:b w:val="0"/>
          <w:kern w:val="0"/>
        </w:rPr>
        <w:t>节能降碳增效行动</w:t>
      </w:r>
    </w:p>
    <w:p w14:paraId="32FEE870">
      <w:pPr>
        <w:overflowPunct w:val="0"/>
        <w:autoSpaceDE w:val="0"/>
        <w:autoSpaceDN w:val="0"/>
        <w:adjustRightInd w:val="0"/>
        <w:snapToGrid w:val="0"/>
        <w:spacing w:line="560" w:lineRule="exact"/>
        <w:ind w:firstLine="643" w:firstLineChars="200"/>
        <w:outlineLvl w:val="2"/>
        <w:rPr>
          <w:rFonts w:ascii="Times New Roman" w:hAnsi="Times New Roman" w:eastAsia="方正仿宋_GBK" w:cs="Times New Roman"/>
          <w:kern w:val="0"/>
          <w:szCs w:val="32"/>
        </w:rPr>
      </w:pPr>
      <w:bookmarkStart w:id="20" w:name="_Toc112686292"/>
      <w:r>
        <w:rPr>
          <w:rStyle w:val="51"/>
          <w:b/>
          <w:kern w:val="0"/>
        </w:rPr>
        <w:t>1．</w:t>
      </w:r>
      <w:r>
        <w:rPr>
          <w:rStyle w:val="51"/>
          <w:rFonts w:hint="eastAsia"/>
          <w:b/>
          <w:kern w:val="0"/>
        </w:rPr>
        <w:t>全面提升节能管理水平</w:t>
      </w:r>
      <w:r>
        <w:rPr>
          <w:rStyle w:val="51"/>
          <w:b/>
          <w:kern w:val="0"/>
        </w:rPr>
        <w:t>。</w:t>
      </w:r>
      <w:r>
        <w:rPr>
          <w:rFonts w:hint="eastAsia" w:ascii="Times New Roman" w:hAnsi="Times New Roman" w:eastAsia="仿宋_GB2312" w:cs="Times New Roman"/>
          <w:color w:val="000000" w:themeColor="text1"/>
          <w:kern w:val="0"/>
          <w:szCs w:val="32"/>
          <w14:textFill>
            <w14:solidFill>
              <w14:schemeClr w14:val="tx1"/>
            </w14:solidFill>
          </w14:textFill>
        </w:rPr>
        <w:t>严格执行国家、省、市能耗双控向碳排放双控转变制度，积极落实新增可再生能源和原料用能不纳入能源消费总量控制。探索实施用能预算管理，强化重点单位用能管理</w:t>
      </w:r>
      <w:r>
        <w:rPr>
          <w:rFonts w:ascii="Times New Roman" w:hAnsi="Times New Roman" w:eastAsia="仿宋_GB2312" w:cs="Times New Roman"/>
          <w:color w:val="000000" w:themeColor="text1"/>
          <w:kern w:val="0"/>
          <w:szCs w:val="32"/>
          <w14:textFill>
            <w14:solidFill>
              <w14:schemeClr w14:val="tx1"/>
            </w14:solidFill>
          </w14:textFill>
        </w:rPr>
        <w:t>和目标责任</w:t>
      </w:r>
      <w:r>
        <w:rPr>
          <w:rFonts w:hint="eastAsia" w:ascii="Times New Roman" w:hAnsi="Times New Roman" w:eastAsia="仿宋_GB2312" w:cs="Times New Roman"/>
          <w:color w:val="000000" w:themeColor="text1"/>
          <w:kern w:val="0"/>
          <w:szCs w:val="32"/>
          <w14:textFill>
            <w14:solidFill>
              <w14:schemeClr w14:val="tx1"/>
            </w14:solidFill>
          </w14:textFill>
        </w:rPr>
        <w:t>。加强节能监察和执法，强化结果运用，推行能效与能源配置挂钩，建立跨部门联动的跟踪节能监察体系，探索推动节能验收与节能监察联合开展。落实国家、省、市关于信用评价和差别电价的相关政策，对严重违法失信和不符合节能环保要求的企业，依法依规实施联合惩戒，增强节能监察约束力。</w:t>
      </w:r>
      <w:r>
        <w:rPr>
          <w:rFonts w:ascii="Times New Roman" w:hAnsi="Times New Roman" w:eastAsia="仿宋_GB2312" w:cs="Times New Roman"/>
          <w:color w:val="000000" w:themeColor="text1"/>
          <w:kern w:val="0"/>
          <w:szCs w:val="32"/>
          <w14:textFill>
            <w14:solidFill>
              <w14:schemeClr w14:val="tx1"/>
            </w14:solidFill>
          </w14:textFill>
        </w:rPr>
        <w:t>加大公共建筑能耗管理，推进宾馆、办公楼、商场等商业和公共建筑低碳化运营管理。</w:t>
      </w:r>
      <w:r>
        <w:rPr>
          <w:rFonts w:hint="eastAsia" w:ascii="Times New Roman" w:hAnsi="Times New Roman" w:eastAsia="仿宋_GB2312" w:cs="Times New Roman"/>
          <w:color w:val="000000" w:themeColor="text1"/>
          <w:kern w:val="0"/>
          <w:szCs w:val="32"/>
          <w14:textFill>
            <w14:solidFill>
              <w14:schemeClr w14:val="tx1"/>
            </w14:solidFill>
          </w14:textFill>
        </w:rPr>
        <w:t>强化节能审查，加强能效和节能监督管理。</w:t>
      </w:r>
      <w:r>
        <w:rPr>
          <w:rStyle w:val="57"/>
          <w:rFonts w:ascii="Times New Roman" w:hAnsi="Times New Roman"/>
          <w:kern w:val="0"/>
        </w:rPr>
        <w:t>（县发改委、县工信局</w:t>
      </w:r>
      <w:r>
        <w:rPr>
          <w:rStyle w:val="57"/>
          <w:rFonts w:hint="eastAsia" w:ascii="Times New Roman" w:hAnsi="Times New Roman"/>
          <w:kern w:val="0"/>
        </w:rPr>
        <w:t>牵头，</w:t>
      </w:r>
      <w:r>
        <w:rPr>
          <w:rStyle w:val="57"/>
          <w:rFonts w:ascii="Times New Roman" w:hAnsi="Times New Roman"/>
          <w:kern w:val="0"/>
        </w:rPr>
        <w:t>县住建局、县商务局、县卫健委、县数据局、县统计局、金湖生态环境局</w:t>
      </w:r>
      <w:r>
        <w:rPr>
          <w:rStyle w:val="57"/>
          <w:rFonts w:hint="eastAsia" w:ascii="Times New Roman" w:hAnsi="Times New Roman"/>
          <w:kern w:val="0"/>
        </w:rPr>
        <w:t>按职责分工负责</w:t>
      </w:r>
      <w:r>
        <w:rPr>
          <w:rStyle w:val="57"/>
          <w:rFonts w:ascii="Times New Roman" w:hAnsi="Times New Roman"/>
          <w:kern w:val="0"/>
        </w:rPr>
        <w:t>）</w:t>
      </w:r>
    </w:p>
    <w:p w14:paraId="6D1CB2FA">
      <w:pPr>
        <w:overflowPunct w:val="0"/>
        <w:autoSpaceDE w:val="0"/>
        <w:autoSpaceDN w:val="0"/>
        <w:adjustRightInd w:val="0"/>
        <w:snapToGrid w:val="0"/>
        <w:spacing w:line="560" w:lineRule="exact"/>
        <w:ind w:firstLine="643" w:firstLineChars="200"/>
        <w:outlineLvl w:val="2"/>
        <w:rPr>
          <w:rFonts w:ascii="Times New Roman" w:hAnsi="Times New Roman" w:eastAsia="方正仿宋_GBK" w:cs="Times New Roman"/>
          <w:kern w:val="0"/>
          <w:szCs w:val="32"/>
        </w:rPr>
      </w:pPr>
      <w:r>
        <w:rPr>
          <w:rStyle w:val="51"/>
          <w:b/>
          <w:kern w:val="0"/>
        </w:rPr>
        <w:t>2．提升能源利用效率。</w:t>
      </w:r>
      <w:r>
        <w:rPr>
          <w:rFonts w:ascii="Times New Roman" w:hAnsi="Times New Roman" w:eastAsia="仿宋_GB2312" w:cs="Times New Roman"/>
          <w:color w:val="000000" w:themeColor="text1"/>
          <w:kern w:val="0"/>
          <w:szCs w:val="32"/>
          <w14:textFill>
            <w14:solidFill>
              <w14:schemeClr w14:val="tx1"/>
            </w14:solidFill>
          </w14:textFill>
        </w:rPr>
        <w:t>把节约利用能源贯穿于经济社会发展全过程，持续深化开展工业、建筑、交通运输、公共机构等重点领域节能工作</w:t>
      </w:r>
      <w:r>
        <w:rPr>
          <w:rFonts w:hint="eastAsia" w:ascii="Times New Roman" w:hAnsi="Times New Roman" w:eastAsia="仿宋_GB2312" w:cs="Times New Roman"/>
          <w:color w:val="000000" w:themeColor="text1"/>
          <w:kern w:val="0"/>
          <w:szCs w:val="32"/>
          <w14:textFill>
            <w14:solidFill>
              <w14:schemeClr w14:val="tx1"/>
            </w14:solidFill>
          </w14:textFill>
        </w:rPr>
        <w:t>。推动重点用能设备节能增效，实施电机、变压器能效改造提升行动，持续推广高效节能电机、节能环保汽车、高效节能照明等节能产品，推动环保用能设施节能降碳改造升级，加快淘汰落后低效设备。</w:t>
      </w:r>
      <w:r>
        <w:rPr>
          <w:rFonts w:ascii="Times New Roman" w:hAnsi="Times New Roman" w:eastAsia="仿宋_GB2312" w:cs="Times New Roman"/>
          <w:color w:val="000000" w:themeColor="text1"/>
          <w:kern w:val="0"/>
          <w:szCs w:val="32"/>
          <w14:textFill>
            <w14:solidFill>
              <w14:schemeClr w14:val="tx1"/>
            </w14:solidFill>
          </w14:textFill>
        </w:rPr>
        <w:t>深入落实</w:t>
      </w:r>
      <w:r>
        <w:rPr>
          <w:rFonts w:hint="eastAsia" w:ascii="Times New Roman" w:hAnsi="Times New Roman" w:eastAsia="仿宋_GB2312" w:cs="Times New Roman"/>
          <w:color w:val="000000" w:themeColor="text1"/>
          <w:kern w:val="0"/>
          <w:szCs w:val="32"/>
          <w14:textFill>
            <w14:solidFill>
              <w14:schemeClr w14:val="tx1"/>
            </w14:solidFill>
          </w14:textFill>
        </w:rPr>
        <w:t>大规模设备更新和消费品以旧换新系列政策，推进工业重点领域设备更新改造、老旧营运船舶货车报废更新、新能源公交车及动力电池更新、农机报废更新、家电产品以旧换新等。</w:t>
      </w:r>
      <w:r>
        <w:rPr>
          <w:rStyle w:val="57"/>
          <w:rFonts w:ascii="Times New Roman" w:hAnsi="Times New Roman"/>
          <w:kern w:val="0"/>
        </w:rPr>
        <w:t>（县发改委、县工信局</w:t>
      </w:r>
      <w:r>
        <w:rPr>
          <w:rStyle w:val="57"/>
          <w:rFonts w:hint="eastAsia" w:ascii="Times New Roman" w:hAnsi="Times New Roman"/>
          <w:kern w:val="0"/>
        </w:rPr>
        <w:t>牵头，</w:t>
      </w:r>
      <w:r>
        <w:rPr>
          <w:rStyle w:val="57"/>
          <w:rFonts w:ascii="Times New Roman" w:hAnsi="Times New Roman"/>
          <w:kern w:val="0"/>
        </w:rPr>
        <w:t>县住建局、县交通局、县农业农村局、县商务局、县市场监管局、金湖生态环境局、县机关事务服务中心</w:t>
      </w:r>
      <w:r>
        <w:rPr>
          <w:rStyle w:val="57"/>
          <w:rFonts w:hint="eastAsia" w:ascii="Times New Roman" w:hAnsi="Times New Roman"/>
          <w:kern w:val="0"/>
        </w:rPr>
        <w:t>按职责分工负责</w:t>
      </w:r>
      <w:r>
        <w:rPr>
          <w:rStyle w:val="57"/>
          <w:rFonts w:ascii="Times New Roman" w:hAnsi="Times New Roman"/>
          <w:kern w:val="0"/>
        </w:rPr>
        <w:t>）</w:t>
      </w:r>
    </w:p>
    <w:p w14:paraId="451B131B">
      <w:pPr>
        <w:pStyle w:val="52"/>
        <w:overflowPunct w:val="0"/>
        <w:autoSpaceDE w:val="0"/>
        <w:autoSpaceDN w:val="0"/>
        <w:spacing w:line="560" w:lineRule="exact"/>
        <w:ind w:firstLine="640"/>
        <w:outlineLvl w:val="1"/>
        <w:rPr>
          <w:rFonts w:ascii="Times New Roman"/>
          <w:b w:val="0"/>
          <w:kern w:val="0"/>
        </w:rPr>
      </w:pPr>
      <w:r>
        <w:rPr>
          <w:rFonts w:ascii="Times New Roman"/>
          <w:b w:val="0"/>
          <w:kern w:val="0"/>
        </w:rPr>
        <w:t>（四）循环经济降碳行动</w:t>
      </w:r>
      <w:bookmarkEnd w:id="20"/>
    </w:p>
    <w:p w14:paraId="3AB8C994">
      <w:pPr>
        <w:overflowPunct w:val="0"/>
        <w:autoSpaceDE w:val="0"/>
        <w:autoSpaceDN w:val="0"/>
        <w:adjustRightInd w:val="0"/>
        <w:snapToGrid w:val="0"/>
        <w:spacing w:line="560" w:lineRule="exact"/>
        <w:ind w:firstLine="643" w:firstLineChars="200"/>
        <w:outlineLvl w:val="2"/>
        <w:rPr>
          <w:rFonts w:ascii="Times New Roman" w:hAnsi="Times New Roman" w:eastAsia="方正仿宋_GBK" w:cs="Times New Roman"/>
          <w:kern w:val="0"/>
          <w:szCs w:val="32"/>
        </w:rPr>
      </w:pPr>
      <w:bookmarkStart w:id="21" w:name="_Toc112686293"/>
      <w:bookmarkStart w:id="22" w:name="_Toc109398369"/>
      <w:r>
        <w:rPr>
          <w:rStyle w:val="51"/>
          <w:b/>
          <w:kern w:val="0"/>
        </w:rPr>
        <w:t>1．健全资源循环利用模式。</w:t>
      </w:r>
      <w:bookmarkEnd w:id="21"/>
      <w:bookmarkEnd w:id="22"/>
      <w:r>
        <w:rPr>
          <w:rFonts w:ascii="Times New Roman" w:hAnsi="Times New Roman" w:eastAsia="仿宋_GB2312" w:cs="Times New Roman"/>
          <w:color w:val="000000" w:themeColor="text1"/>
          <w:kern w:val="0"/>
          <w:szCs w:val="32"/>
          <w14:textFill>
            <w14:solidFill>
              <w14:schemeClr w14:val="tx1"/>
            </w14:solidFill>
          </w14:textFill>
        </w:rPr>
        <w:t>加强再生资源回收利用，完善废旧物资回收网络，推进垃圾分类回收与再生资源回收</w:t>
      </w:r>
      <w:r>
        <w:rPr>
          <w:rFonts w:hint="eastAsia" w:ascii="Times New Roman" w:hAnsi="Times New Roman" w:eastAsia="仿宋_GB2312" w:cs="Times New Roman"/>
          <w:color w:val="000000" w:themeColor="text1"/>
          <w:kern w:val="0"/>
          <w:szCs w:val="32"/>
          <w14:textFill>
            <w14:solidFill>
              <w14:schemeClr w14:val="tx1"/>
            </w14:solidFill>
          </w14:textFill>
        </w:rPr>
        <w:t>“</w:t>
      </w:r>
      <w:r>
        <w:rPr>
          <w:rFonts w:ascii="Times New Roman" w:hAnsi="Times New Roman" w:eastAsia="仿宋_GB2312" w:cs="Times New Roman"/>
          <w:color w:val="000000" w:themeColor="text1"/>
          <w:kern w:val="0"/>
          <w:szCs w:val="32"/>
          <w14:textFill>
            <w14:solidFill>
              <w14:schemeClr w14:val="tx1"/>
            </w14:solidFill>
          </w14:textFill>
        </w:rPr>
        <w:t>两网融合</w:t>
      </w:r>
      <w:r>
        <w:rPr>
          <w:rFonts w:hint="eastAsia" w:ascii="Times New Roman" w:hAnsi="Times New Roman" w:eastAsia="仿宋_GB2312" w:cs="Times New Roman"/>
          <w:color w:val="000000" w:themeColor="text1"/>
          <w:kern w:val="0"/>
          <w:szCs w:val="32"/>
          <w14:textFill>
            <w14:solidFill>
              <w14:schemeClr w14:val="tx1"/>
            </w14:solidFill>
          </w14:textFill>
        </w:rPr>
        <w:t>”</w:t>
      </w:r>
      <w:r>
        <w:rPr>
          <w:rFonts w:ascii="Times New Roman" w:hAnsi="Times New Roman" w:eastAsia="仿宋_GB2312" w:cs="Times New Roman"/>
          <w:color w:val="000000" w:themeColor="text1"/>
          <w:kern w:val="0"/>
          <w:szCs w:val="32"/>
          <w14:textFill>
            <w14:solidFill>
              <w14:schemeClr w14:val="tx1"/>
            </w14:solidFill>
          </w14:textFill>
        </w:rPr>
        <w:t>。推行</w:t>
      </w:r>
      <w:r>
        <w:rPr>
          <w:rFonts w:hint="eastAsia" w:ascii="Times New Roman" w:hAnsi="Times New Roman" w:eastAsia="仿宋_GB2312" w:cs="Times New Roman"/>
          <w:color w:val="000000" w:themeColor="text1"/>
          <w:kern w:val="0"/>
          <w:szCs w:val="32"/>
          <w14:textFill>
            <w14:solidFill>
              <w14:schemeClr w14:val="tx1"/>
            </w14:solidFill>
          </w14:textFill>
        </w:rPr>
        <w:t>“</w:t>
      </w:r>
      <w:r>
        <w:rPr>
          <w:rFonts w:ascii="Times New Roman" w:hAnsi="Times New Roman" w:eastAsia="仿宋_GB2312" w:cs="Times New Roman"/>
          <w:color w:val="000000" w:themeColor="text1"/>
          <w:kern w:val="0"/>
          <w:szCs w:val="32"/>
          <w14:textFill>
            <w14:solidFill>
              <w14:schemeClr w14:val="tx1"/>
            </w14:solidFill>
          </w14:textFill>
        </w:rPr>
        <w:t>互联网+</w:t>
      </w:r>
      <w:r>
        <w:rPr>
          <w:rFonts w:hint="eastAsia" w:ascii="Times New Roman" w:hAnsi="Times New Roman" w:eastAsia="仿宋_GB2312" w:cs="Times New Roman"/>
          <w:color w:val="000000" w:themeColor="text1"/>
          <w:kern w:val="0"/>
          <w:szCs w:val="32"/>
          <w14:textFill>
            <w14:solidFill>
              <w14:schemeClr w14:val="tx1"/>
            </w14:solidFill>
          </w14:textFill>
        </w:rPr>
        <w:t>”</w:t>
      </w:r>
      <w:r>
        <w:rPr>
          <w:rFonts w:ascii="Times New Roman" w:hAnsi="Times New Roman" w:eastAsia="仿宋_GB2312" w:cs="Times New Roman"/>
          <w:color w:val="000000" w:themeColor="text1"/>
          <w:kern w:val="0"/>
          <w:szCs w:val="32"/>
          <w14:textFill>
            <w14:solidFill>
              <w14:schemeClr w14:val="tx1"/>
            </w14:solidFill>
          </w14:textFill>
        </w:rPr>
        <w:t>回收模式，探索</w:t>
      </w:r>
      <w:r>
        <w:rPr>
          <w:rFonts w:hint="eastAsia" w:ascii="Times New Roman" w:hAnsi="Times New Roman" w:eastAsia="仿宋_GB2312" w:cs="Times New Roman"/>
          <w:color w:val="000000" w:themeColor="text1"/>
          <w:kern w:val="0"/>
          <w:szCs w:val="32"/>
          <w14:textFill>
            <w14:solidFill>
              <w14:schemeClr w14:val="tx1"/>
            </w14:solidFill>
          </w14:textFill>
        </w:rPr>
        <w:t>搭建</w:t>
      </w:r>
      <w:r>
        <w:rPr>
          <w:rFonts w:ascii="Times New Roman" w:hAnsi="Times New Roman" w:eastAsia="仿宋_GB2312" w:cs="Times New Roman"/>
          <w:color w:val="000000" w:themeColor="text1"/>
          <w:kern w:val="0"/>
          <w:szCs w:val="32"/>
          <w14:textFill>
            <w14:solidFill>
              <w14:schemeClr w14:val="tx1"/>
            </w14:solidFill>
          </w14:textFill>
        </w:rPr>
        <w:t>供需精准对接平台，实现废钢铁、废铜、废铝、废纸、废塑料、废橡胶、废玻璃等再生资源分类有序、应收尽收和清单化管理，推动再生资源规范化、规模化、清洁化利用。探索资源再生产品和再制造产品推广应用。推进制造业企业绿色转型升级，构建低碳循环生产方式。提高服务业绿色发展水平，推动汽修、装修装饰等行业使用低挥发性有机物含量原辅材料，倡导酒店、餐饮等行业不主动提供一次性用品。</w:t>
      </w:r>
      <w:r>
        <w:rPr>
          <w:rStyle w:val="57"/>
          <w:rFonts w:ascii="Times New Roman" w:hAnsi="Times New Roman"/>
          <w:kern w:val="0"/>
        </w:rPr>
        <w:t>（县商务局</w:t>
      </w:r>
      <w:r>
        <w:rPr>
          <w:rStyle w:val="57"/>
          <w:rFonts w:hint="eastAsia" w:ascii="Times New Roman" w:hAnsi="Times New Roman"/>
          <w:kern w:val="0"/>
        </w:rPr>
        <w:t>、县发改委、</w:t>
      </w:r>
      <w:r>
        <w:rPr>
          <w:rStyle w:val="57"/>
          <w:rFonts w:ascii="Times New Roman" w:hAnsi="Times New Roman"/>
          <w:kern w:val="0"/>
        </w:rPr>
        <w:t>县工信局、县</w:t>
      </w:r>
      <w:r>
        <w:rPr>
          <w:rStyle w:val="57"/>
          <w:rFonts w:hint="eastAsia" w:ascii="Times New Roman" w:hAnsi="Times New Roman"/>
          <w:kern w:val="0"/>
        </w:rPr>
        <w:t>住建</w:t>
      </w:r>
      <w:r>
        <w:rPr>
          <w:rStyle w:val="57"/>
          <w:rFonts w:ascii="Times New Roman" w:hAnsi="Times New Roman"/>
          <w:kern w:val="0"/>
        </w:rPr>
        <w:t>局、县农业农村局、金湖生态环境局</w:t>
      </w:r>
      <w:r>
        <w:rPr>
          <w:rStyle w:val="57"/>
          <w:rFonts w:hint="eastAsia" w:ascii="Times New Roman" w:hAnsi="Times New Roman"/>
          <w:kern w:val="0"/>
        </w:rPr>
        <w:t>按职责分工负责</w:t>
      </w:r>
      <w:r>
        <w:rPr>
          <w:rStyle w:val="57"/>
          <w:rFonts w:ascii="Times New Roman" w:hAnsi="Times New Roman"/>
          <w:kern w:val="0"/>
        </w:rPr>
        <w:t>）</w:t>
      </w:r>
    </w:p>
    <w:p w14:paraId="5E19F347">
      <w:pPr>
        <w:overflowPunct w:val="0"/>
        <w:autoSpaceDE w:val="0"/>
        <w:autoSpaceDN w:val="0"/>
        <w:adjustRightInd w:val="0"/>
        <w:snapToGrid w:val="0"/>
        <w:spacing w:line="560" w:lineRule="exact"/>
        <w:ind w:firstLine="643" w:firstLineChars="200"/>
        <w:outlineLvl w:val="2"/>
        <w:rPr>
          <w:rFonts w:ascii="Times New Roman" w:hAnsi="Times New Roman" w:eastAsia="方正仿宋_GBK" w:cs="Times New Roman"/>
          <w:kern w:val="0"/>
          <w:szCs w:val="32"/>
        </w:rPr>
      </w:pPr>
      <w:bookmarkStart w:id="23" w:name="_Toc112686294"/>
      <w:bookmarkStart w:id="24" w:name="_Toc109398370"/>
      <w:r>
        <w:rPr>
          <w:rStyle w:val="51"/>
          <w:b/>
          <w:kern w:val="0"/>
        </w:rPr>
        <w:t>2．深入推进园区循环化改造。</w:t>
      </w:r>
      <w:bookmarkEnd w:id="23"/>
      <w:bookmarkEnd w:id="24"/>
      <w:r>
        <w:rPr>
          <w:rFonts w:ascii="Times New Roman" w:hAnsi="Times New Roman" w:eastAsia="仿宋_GB2312" w:cs="Times New Roman"/>
          <w:color w:val="000000" w:themeColor="text1"/>
          <w:kern w:val="0"/>
          <w:szCs w:val="32"/>
          <w14:textFill>
            <w14:solidFill>
              <w14:schemeClr w14:val="tx1"/>
            </w14:solidFill>
          </w14:textFill>
        </w:rPr>
        <w:t>以提升资源产出率和循环利用率为目标，优化园区空间布局，深入推进实施园区循环化改造工程。推动开发区规划建设生态绿岛项目、园区分布式光伏发电、回收循环利用短纤产业园等基础设施项目。加强绿色低碳园区建设，开展绿色低碳工厂（园区）创建工程。推进工业余压余热、废气废液废渣资源化利用，深入推广集中供气供热。加快搭建基础设施和公共服务共享平台，加强园区物质流管理。</w:t>
      </w:r>
      <w:r>
        <w:rPr>
          <w:rStyle w:val="57"/>
          <w:rFonts w:ascii="Times New Roman" w:hAnsi="Times New Roman"/>
          <w:kern w:val="0"/>
        </w:rPr>
        <w:t>（开发区、县发改委、县工信局、县自然资源局、县水务局、金湖生态环境局</w:t>
      </w:r>
      <w:r>
        <w:rPr>
          <w:rStyle w:val="57"/>
          <w:rFonts w:hint="eastAsia" w:ascii="Times New Roman" w:hAnsi="Times New Roman"/>
          <w:kern w:val="0"/>
        </w:rPr>
        <w:t>按职责分工负责</w:t>
      </w:r>
      <w:r>
        <w:rPr>
          <w:rStyle w:val="57"/>
          <w:rFonts w:ascii="Times New Roman" w:hAnsi="Times New Roman"/>
          <w:kern w:val="0"/>
        </w:rPr>
        <w:t>）</w:t>
      </w:r>
    </w:p>
    <w:p w14:paraId="2496D3B2">
      <w:pPr>
        <w:overflowPunct w:val="0"/>
        <w:autoSpaceDE w:val="0"/>
        <w:autoSpaceDN w:val="0"/>
        <w:adjustRightInd w:val="0"/>
        <w:snapToGrid w:val="0"/>
        <w:spacing w:line="560" w:lineRule="exact"/>
        <w:ind w:firstLine="643" w:firstLineChars="200"/>
        <w:outlineLvl w:val="2"/>
        <w:rPr>
          <w:rFonts w:ascii="Times New Roman" w:hAnsi="Times New Roman" w:eastAsia="方正仿宋_GBK" w:cs="Times New Roman"/>
          <w:kern w:val="0"/>
          <w:szCs w:val="32"/>
        </w:rPr>
      </w:pPr>
      <w:bookmarkStart w:id="25" w:name="_Toc109398371"/>
      <w:bookmarkStart w:id="26" w:name="_Toc112686295"/>
      <w:r>
        <w:rPr>
          <w:rStyle w:val="51"/>
          <w:b/>
          <w:kern w:val="0"/>
        </w:rPr>
        <w:t>3．加强大宗固废综合利用。</w:t>
      </w:r>
      <w:bookmarkEnd w:id="25"/>
      <w:bookmarkEnd w:id="26"/>
      <w:r>
        <w:rPr>
          <w:rFonts w:ascii="Times New Roman" w:hAnsi="Times New Roman" w:eastAsia="仿宋_GB2312" w:cs="Times New Roman"/>
          <w:color w:val="000000" w:themeColor="text1"/>
          <w:kern w:val="0"/>
          <w:szCs w:val="32"/>
          <w14:textFill>
            <w14:solidFill>
              <w14:schemeClr w14:val="tx1"/>
            </w14:solidFill>
          </w14:textFill>
        </w:rPr>
        <w:t>以建筑垃圾、农作物秸秆等大宗固废为重点，鼓励规模化、高值化利用。推动建筑垃圾资源化利用，推广废弃路面材料原地再生利用。加快推进秸秆综合利用，拓展秸秆利用途径，开展规模化利用。改良秸秆还田技术，完善长效奖补机制，健全收储运体系，严格禁烧管控。到202</w:t>
      </w:r>
      <w:r>
        <w:rPr>
          <w:rFonts w:hint="eastAsia" w:ascii="Times New Roman" w:hAnsi="Times New Roman" w:eastAsia="仿宋_GB2312" w:cs="Times New Roman"/>
          <w:color w:val="000000" w:themeColor="text1"/>
          <w:kern w:val="0"/>
          <w:szCs w:val="32"/>
          <w14:textFill>
            <w14:solidFill>
              <w14:schemeClr w14:val="tx1"/>
            </w14:solidFill>
          </w14:textFill>
        </w:rPr>
        <w:t>6</w:t>
      </w:r>
      <w:r>
        <w:rPr>
          <w:rFonts w:ascii="Times New Roman" w:hAnsi="Times New Roman" w:eastAsia="仿宋_GB2312" w:cs="Times New Roman"/>
          <w:color w:val="000000" w:themeColor="text1"/>
          <w:kern w:val="0"/>
          <w:szCs w:val="32"/>
          <w14:textFill>
            <w14:solidFill>
              <w14:schemeClr w14:val="tx1"/>
            </w14:solidFill>
          </w14:textFill>
        </w:rPr>
        <w:t>年底，秸秆综合利用率达</w:t>
      </w:r>
      <w:r>
        <w:rPr>
          <w:rFonts w:hint="eastAsia" w:ascii="Times New Roman" w:hAnsi="Times New Roman" w:eastAsia="仿宋_GB2312" w:cs="Times New Roman"/>
          <w:color w:val="000000" w:themeColor="text1"/>
          <w:kern w:val="0"/>
          <w:szCs w:val="32"/>
          <w14:textFill>
            <w14:solidFill>
              <w14:schemeClr w14:val="tx1"/>
            </w14:solidFill>
          </w14:textFill>
        </w:rPr>
        <w:t>96</w:t>
      </w:r>
      <w:r>
        <w:rPr>
          <w:rFonts w:ascii="Times New Roman" w:hAnsi="Times New Roman" w:eastAsia="仿宋_GB2312" w:cs="Times New Roman"/>
          <w:color w:val="000000" w:themeColor="text1"/>
          <w:kern w:val="0"/>
          <w:szCs w:val="32"/>
          <w14:textFill>
            <w14:solidFill>
              <w14:schemeClr w14:val="tx1"/>
            </w14:solidFill>
          </w14:textFill>
        </w:rPr>
        <w:t>%以上。到20</w:t>
      </w:r>
      <w:r>
        <w:rPr>
          <w:rFonts w:hint="eastAsia" w:ascii="Times New Roman" w:hAnsi="Times New Roman" w:eastAsia="仿宋_GB2312" w:cs="Times New Roman"/>
          <w:color w:val="000000" w:themeColor="text1"/>
          <w:kern w:val="0"/>
          <w:szCs w:val="32"/>
          <w14:textFill>
            <w14:solidFill>
              <w14:schemeClr w14:val="tx1"/>
            </w14:solidFill>
          </w14:textFill>
        </w:rPr>
        <w:t>30</w:t>
      </w:r>
      <w:r>
        <w:rPr>
          <w:rFonts w:ascii="Times New Roman" w:hAnsi="Times New Roman" w:eastAsia="仿宋_GB2312" w:cs="Times New Roman"/>
          <w:color w:val="000000" w:themeColor="text1"/>
          <w:kern w:val="0"/>
          <w:szCs w:val="32"/>
          <w14:textFill>
            <w14:solidFill>
              <w14:schemeClr w14:val="tx1"/>
            </w14:solidFill>
          </w14:textFill>
        </w:rPr>
        <w:t>年，秸秆综合利用率达9</w:t>
      </w:r>
      <w:r>
        <w:rPr>
          <w:rFonts w:hint="eastAsia" w:ascii="Times New Roman" w:hAnsi="Times New Roman" w:eastAsia="仿宋_GB2312" w:cs="Times New Roman"/>
          <w:color w:val="000000" w:themeColor="text1"/>
          <w:kern w:val="0"/>
          <w:szCs w:val="32"/>
          <w14:textFill>
            <w14:solidFill>
              <w14:schemeClr w14:val="tx1"/>
            </w14:solidFill>
          </w14:textFill>
        </w:rPr>
        <w:t>7</w:t>
      </w:r>
      <w:r>
        <w:rPr>
          <w:rFonts w:ascii="Times New Roman" w:hAnsi="Times New Roman" w:eastAsia="仿宋_GB2312" w:cs="Times New Roman"/>
          <w:color w:val="000000" w:themeColor="text1"/>
          <w:kern w:val="0"/>
          <w:szCs w:val="32"/>
          <w14:textFill>
            <w14:solidFill>
              <w14:schemeClr w14:val="tx1"/>
            </w14:solidFill>
          </w14:textFill>
        </w:rPr>
        <w:t>%以上。</w:t>
      </w:r>
      <w:r>
        <w:rPr>
          <w:rStyle w:val="57"/>
          <w:rFonts w:ascii="Times New Roman" w:hAnsi="Times New Roman"/>
          <w:kern w:val="0"/>
        </w:rPr>
        <w:t>（县住建局、县交通局</w:t>
      </w:r>
      <w:r>
        <w:rPr>
          <w:rStyle w:val="57"/>
          <w:rFonts w:hint="eastAsia" w:ascii="Times New Roman" w:hAnsi="Times New Roman"/>
          <w:kern w:val="0"/>
        </w:rPr>
        <w:t>、</w:t>
      </w:r>
      <w:r>
        <w:rPr>
          <w:rStyle w:val="57"/>
          <w:rFonts w:ascii="Times New Roman" w:hAnsi="Times New Roman"/>
          <w:kern w:val="0"/>
        </w:rPr>
        <w:t>县农业农村局</w:t>
      </w:r>
      <w:r>
        <w:rPr>
          <w:rStyle w:val="57"/>
          <w:rFonts w:hint="eastAsia" w:ascii="Times New Roman" w:hAnsi="Times New Roman"/>
          <w:kern w:val="0"/>
        </w:rPr>
        <w:t>按职责分工负责</w:t>
      </w:r>
      <w:r>
        <w:rPr>
          <w:rStyle w:val="57"/>
          <w:rFonts w:ascii="Times New Roman" w:hAnsi="Times New Roman"/>
          <w:kern w:val="0"/>
        </w:rPr>
        <w:t>）</w:t>
      </w:r>
    </w:p>
    <w:p w14:paraId="49441287">
      <w:pPr>
        <w:overflowPunct w:val="0"/>
        <w:autoSpaceDE w:val="0"/>
        <w:autoSpaceDN w:val="0"/>
        <w:adjustRightInd w:val="0"/>
        <w:snapToGrid w:val="0"/>
        <w:spacing w:line="560" w:lineRule="exact"/>
        <w:ind w:firstLine="643" w:firstLineChars="200"/>
        <w:outlineLvl w:val="2"/>
        <w:rPr>
          <w:rFonts w:ascii="Times New Roman" w:hAnsi="Times New Roman" w:eastAsia="方正仿宋_GBK" w:cs="Times New Roman"/>
          <w:kern w:val="0"/>
          <w:szCs w:val="32"/>
        </w:rPr>
      </w:pPr>
      <w:bookmarkStart w:id="27" w:name="_Toc112686296"/>
      <w:bookmarkStart w:id="28" w:name="_Toc109398372"/>
      <w:r>
        <w:rPr>
          <w:rStyle w:val="51"/>
          <w:b/>
          <w:kern w:val="0"/>
        </w:rPr>
        <w:t>4．推进生活垃圾减量化资源化。</w:t>
      </w:r>
      <w:bookmarkEnd w:id="27"/>
      <w:bookmarkEnd w:id="28"/>
      <w:r>
        <w:rPr>
          <w:rFonts w:ascii="Times New Roman" w:hAnsi="Times New Roman" w:eastAsia="仿宋_GB2312" w:cs="Times New Roman"/>
          <w:color w:val="000000" w:themeColor="text1"/>
          <w:kern w:val="0"/>
          <w:szCs w:val="32"/>
          <w14:textFill>
            <w14:solidFill>
              <w14:schemeClr w14:val="tx1"/>
            </w14:solidFill>
          </w14:textFill>
        </w:rPr>
        <w:t>推动生活垃圾源头减量，加强塑料污染全链条治理，整治过度包装。扎实推进生活垃圾分类，加快建立覆盖全社会的生活垃圾收运处置体系，全面实现分类投放、分类收集、分类运输、分类处理，确保城乡生活垃圾分类设施覆盖率达到80%以上。积极推进餐厨垃圾资源化利用和无害化处理。到20</w:t>
      </w:r>
      <w:r>
        <w:rPr>
          <w:rFonts w:hint="eastAsia" w:ascii="Times New Roman" w:hAnsi="Times New Roman" w:eastAsia="仿宋_GB2312" w:cs="Times New Roman"/>
          <w:color w:val="000000" w:themeColor="text1"/>
          <w:kern w:val="0"/>
          <w:szCs w:val="32"/>
          <w14:textFill>
            <w14:solidFill>
              <w14:schemeClr w14:val="tx1"/>
            </w14:solidFill>
          </w14:textFill>
        </w:rPr>
        <w:t>30年</w:t>
      </w:r>
      <w:r>
        <w:rPr>
          <w:rFonts w:ascii="Times New Roman" w:hAnsi="Times New Roman" w:eastAsia="仿宋_GB2312" w:cs="Times New Roman"/>
          <w:color w:val="000000" w:themeColor="text1"/>
          <w:kern w:val="0"/>
          <w:szCs w:val="32"/>
          <w14:textFill>
            <w14:solidFill>
              <w14:schemeClr w14:val="tx1"/>
            </w14:solidFill>
          </w14:textFill>
        </w:rPr>
        <w:t>，</w:t>
      </w:r>
      <w:r>
        <w:rPr>
          <w:rFonts w:hint="eastAsia" w:ascii="Times New Roman" w:hAnsi="Times New Roman" w:eastAsia="仿宋_GB2312" w:cs="Times New Roman"/>
          <w:color w:val="000000" w:themeColor="text1"/>
          <w:kern w:val="0"/>
          <w:szCs w:val="32"/>
          <w14:textFill>
            <w14:solidFill>
              <w14:schemeClr w14:val="tx1"/>
            </w14:solidFill>
          </w14:textFill>
        </w:rPr>
        <w:t>保持</w:t>
      </w:r>
      <w:r>
        <w:rPr>
          <w:rFonts w:ascii="Times New Roman" w:hAnsi="Times New Roman" w:eastAsia="仿宋_GB2312" w:cs="Times New Roman"/>
          <w:color w:val="000000" w:themeColor="text1"/>
          <w:kern w:val="0"/>
          <w:szCs w:val="32"/>
          <w14:textFill>
            <w14:solidFill>
              <w14:schemeClr w14:val="tx1"/>
            </w14:solidFill>
          </w14:textFill>
        </w:rPr>
        <w:t>生活垃圾无害化处理率</w:t>
      </w:r>
      <w:r>
        <w:rPr>
          <w:rFonts w:hint="eastAsia" w:ascii="Times New Roman" w:hAnsi="Times New Roman" w:eastAsia="仿宋_GB2312" w:cs="Times New Roman"/>
          <w:color w:val="000000" w:themeColor="text1"/>
          <w:kern w:val="0"/>
          <w:szCs w:val="32"/>
          <w14:textFill>
            <w14:solidFill>
              <w14:schemeClr w14:val="tx1"/>
            </w14:solidFill>
          </w14:textFill>
        </w:rPr>
        <w:t>为100%。</w:t>
      </w:r>
      <w:r>
        <w:rPr>
          <w:rStyle w:val="57"/>
          <w:rFonts w:ascii="Times New Roman" w:hAnsi="Times New Roman"/>
          <w:kern w:val="0"/>
        </w:rPr>
        <w:t>（县住建局</w:t>
      </w:r>
      <w:r>
        <w:rPr>
          <w:rStyle w:val="57"/>
          <w:rFonts w:hint="eastAsia" w:ascii="Times New Roman" w:hAnsi="Times New Roman"/>
          <w:kern w:val="0"/>
        </w:rPr>
        <w:t>牵头，</w:t>
      </w:r>
      <w:r>
        <w:rPr>
          <w:rStyle w:val="57"/>
          <w:rFonts w:ascii="Times New Roman" w:hAnsi="Times New Roman"/>
          <w:kern w:val="0"/>
        </w:rPr>
        <w:t>县商务局、县市场监管局、金湖生态环境局</w:t>
      </w:r>
      <w:r>
        <w:rPr>
          <w:rStyle w:val="57"/>
          <w:rFonts w:hint="eastAsia" w:ascii="Times New Roman" w:hAnsi="Times New Roman"/>
          <w:kern w:val="0"/>
        </w:rPr>
        <w:t>按职责分工负责</w:t>
      </w:r>
      <w:r>
        <w:rPr>
          <w:rStyle w:val="57"/>
          <w:rFonts w:ascii="Times New Roman" w:hAnsi="Times New Roman"/>
          <w:kern w:val="0"/>
        </w:rPr>
        <w:t>）</w:t>
      </w:r>
    </w:p>
    <w:bookmarkEnd w:id="19"/>
    <w:p w14:paraId="1B58B727">
      <w:pPr>
        <w:pStyle w:val="52"/>
        <w:overflowPunct w:val="0"/>
        <w:autoSpaceDE w:val="0"/>
        <w:autoSpaceDN w:val="0"/>
        <w:spacing w:line="560" w:lineRule="exact"/>
        <w:ind w:firstLine="640"/>
        <w:outlineLvl w:val="1"/>
        <w:rPr>
          <w:rFonts w:ascii="Times New Roman"/>
          <w:b w:val="0"/>
          <w:kern w:val="0"/>
        </w:rPr>
      </w:pPr>
      <w:bookmarkStart w:id="29" w:name="_Toc112686297"/>
      <w:r>
        <w:rPr>
          <w:rFonts w:ascii="Times New Roman"/>
          <w:b w:val="0"/>
          <w:kern w:val="0"/>
        </w:rPr>
        <w:t>（五）城乡建设</w:t>
      </w:r>
      <w:bookmarkEnd w:id="29"/>
      <w:r>
        <w:rPr>
          <w:rFonts w:hint="eastAsia" w:ascii="Times New Roman"/>
          <w:b w:val="0"/>
          <w:kern w:val="0"/>
        </w:rPr>
        <w:t>低碳行动</w:t>
      </w:r>
      <w:bookmarkStart w:id="30" w:name="_Toc112686298"/>
      <w:bookmarkStart w:id="31" w:name="_Toc109398374"/>
    </w:p>
    <w:p w14:paraId="2EE6DE68">
      <w:pPr>
        <w:pStyle w:val="52"/>
        <w:overflowPunct w:val="0"/>
        <w:autoSpaceDE w:val="0"/>
        <w:autoSpaceDN w:val="0"/>
        <w:spacing w:line="560" w:lineRule="exact"/>
        <w:ind w:firstLine="643"/>
        <w:outlineLvl w:val="2"/>
        <w:rPr>
          <w:rFonts w:ascii="Times New Roman" w:eastAsia="方正仿宋_GBK"/>
          <w:kern w:val="0"/>
          <w:szCs w:val="32"/>
        </w:rPr>
      </w:pPr>
      <w:r>
        <w:rPr>
          <w:rStyle w:val="51"/>
          <w:kern w:val="0"/>
        </w:rPr>
        <w:t>1．聚力城乡建设低碳化转型。</w:t>
      </w:r>
      <w:bookmarkEnd w:id="30"/>
      <w:bookmarkEnd w:id="31"/>
      <w:r>
        <w:rPr>
          <w:rFonts w:ascii="Times New Roman" w:eastAsia="仿宋_GB2312"/>
          <w:b w:val="0"/>
          <w:color w:val="000000" w:themeColor="text1"/>
          <w:kern w:val="0"/>
          <w:szCs w:val="32"/>
          <w14:textFill>
            <w14:solidFill>
              <w14:schemeClr w14:val="tx1"/>
            </w14:solidFill>
          </w14:textFill>
        </w:rPr>
        <w:t>合理规划城市开发边界，严格管控高能耗公共建筑建设，推广绿色低碳建材，大力发展绿色建筑。</w:t>
      </w:r>
      <w:r>
        <w:rPr>
          <w:rFonts w:hint="eastAsia" w:ascii="Times New Roman" w:eastAsia="仿宋_GB2312"/>
          <w:b w:val="0"/>
          <w:color w:val="000000" w:themeColor="text1"/>
          <w:kern w:val="0"/>
          <w:szCs w:val="32"/>
          <w14:textFill>
            <w14:solidFill>
              <w14:schemeClr w14:val="tx1"/>
            </w14:solidFill>
          </w14:textFill>
        </w:rPr>
        <w:t>落实绿色建筑等级管理规定，新建民用建筑的规划、设计、建设采用基本级以上绿色建筑标准</w:t>
      </w:r>
      <w:r>
        <w:rPr>
          <w:rFonts w:ascii="Times New Roman" w:eastAsia="仿宋_GB2312"/>
          <w:b w:val="0"/>
          <w:color w:val="000000" w:themeColor="text1"/>
          <w:kern w:val="0"/>
          <w:szCs w:val="32"/>
          <w14:textFill>
            <w14:solidFill>
              <w14:schemeClr w14:val="tx1"/>
            </w14:solidFill>
          </w14:textFill>
        </w:rPr>
        <w:t>，使用国有资金投资或者国家融资的大型公共建筑采用高于基本级的绿色建筑标准进行规划、设计、建设。严格建筑建设审批流程，引导绿色物业管理，提升建筑及基础设施智能化水平。推进城镇既有建筑和市政基础设施节能改造，结合老城改造、环境整治、小区出新、加装电梯等同步推动基础设施绿色化和既有建筑节能改造。深化节水型城市及海绵城市建设，加强城市水资源循环利用。</w:t>
      </w:r>
      <w:r>
        <w:rPr>
          <w:rStyle w:val="57"/>
          <w:rFonts w:ascii="Times New Roman" w:cstheme="minorBidi"/>
          <w:b w:val="0"/>
          <w:kern w:val="0"/>
        </w:rPr>
        <w:t>（县住建局</w:t>
      </w:r>
      <w:r>
        <w:rPr>
          <w:rStyle w:val="57"/>
          <w:rFonts w:hint="eastAsia" w:ascii="Times New Roman" w:cstheme="minorBidi"/>
          <w:b w:val="0"/>
          <w:kern w:val="0"/>
        </w:rPr>
        <w:t>牵头，</w:t>
      </w:r>
      <w:r>
        <w:rPr>
          <w:rStyle w:val="57"/>
          <w:rFonts w:ascii="Times New Roman" w:cstheme="minorBidi"/>
          <w:b w:val="0"/>
          <w:kern w:val="0"/>
        </w:rPr>
        <w:t>县自然资源局、县水务局、县农业农村局、县数据局、县市场监管局</w:t>
      </w:r>
      <w:r>
        <w:rPr>
          <w:rStyle w:val="57"/>
          <w:rFonts w:hint="eastAsia" w:ascii="Times New Roman" w:cstheme="minorBidi"/>
          <w:b w:val="0"/>
          <w:kern w:val="0"/>
        </w:rPr>
        <w:t>按职责分工负责</w:t>
      </w:r>
      <w:r>
        <w:rPr>
          <w:rStyle w:val="57"/>
          <w:rFonts w:ascii="Times New Roman" w:cstheme="minorBidi"/>
          <w:b w:val="0"/>
          <w:kern w:val="0"/>
        </w:rPr>
        <w:t>）</w:t>
      </w:r>
    </w:p>
    <w:p w14:paraId="11D000F3">
      <w:pPr>
        <w:widowControl/>
        <w:shd w:val="clear" w:color="auto" w:fill="FFFFFF"/>
        <w:overflowPunct w:val="0"/>
        <w:autoSpaceDE w:val="0"/>
        <w:autoSpaceDN w:val="0"/>
        <w:spacing w:line="560" w:lineRule="exact"/>
        <w:ind w:firstLine="643" w:firstLineChars="200"/>
        <w:outlineLvl w:val="2"/>
        <w:rPr>
          <w:rFonts w:ascii="Times New Roman" w:hAnsi="Times New Roman" w:eastAsia="方正仿宋_GBK" w:cs="Times New Roman"/>
          <w:kern w:val="0"/>
          <w:szCs w:val="32"/>
        </w:rPr>
      </w:pPr>
      <w:bookmarkStart w:id="32" w:name="_Toc112686299"/>
      <w:bookmarkStart w:id="33" w:name="_Toc109398375"/>
      <w:r>
        <w:rPr>
          <w:rStyle w:val="51"/>
          <w:b/>
          <w:kern w:val="0"/>
        </w:rPr>
        <w:t>2．加快优化建筑用能结构。</w:t>
      </w:r>
      <w:bookmarkEnd w:id="32"/>
      <w:bookmarkEnd w:id="33"/>
      <w:r>
        <w:rPr>
          <w:rFonts w:ascii="Times New Roman" w:hAnsi="Times New Roman" w:eastAsia="仿宋_GB2312" w:cs="Times New Roman"/>
          <w:color w:val="000000" w:themeColor="text1"/>
          <w:kern w:val="0"/>
          <w:szCs w:val="32"/>
          <w14:textFill>
            <w14:solidFill>
              <w14:schemeClr w14:val="tx1"/>
            </w14:solidFill>
          </w14:textFill>
        </w:rPr>
        <w:t>加快建筑领域电气化进程，提高生活热水、炊事等领域电器设备普及率。大力发展太阳能采暖、储热、制冷、发电等多功能于一体的新型建筑，积极推广分布式能源在公共建筑领域应用，实现多能协同供应和能源综合梯级利用，提高能源利用效率。加快推动建筑节能减碳主体从单一建筑向社区综合转变。</w:t>
      </w:r>
      <w:r>
        <w:rPr>
          <w:rStyle w:val="57"/>
          <w:rFonts w:ascii="Times New Roman" w:hAnsi="Times New Roman"/>
          <w:kern w:val="0"/>
        </w:rPr>
        <w:t>（县住建局</w:t>
      </w:r>
      <w:r>
        <w:rPr>
          <w:rStyle w:val="57"/>
          <w:rFonts w:hint="eastAsia" w:ascii="Times New Roman" w:hAnsi="Times New Roman"/>
          <w:kern w:val="0"/>
        </w:rPr>
        <w:t>牵头，</w:t>
      </w:r>
      <w:r>
        <w:rPr>
          <w:rStyle w:val="57"/>
          <w:rFonts w:ascii="Times New Roman" w:hAnsi="Times New Roman"/>
          <w:kern w:val="0"/>
        </w:rPr>
        <w:t>县</w:t>
      </w:r>
      <w:r>
        <w:rPr>
          <w:rStyle w:val="57"/>
          <w:rFonts w:hint="eastAsia" w:ascii="Times New Roman" w:hAnsi="Times New Roman"/>
          <w:kern w:val="0"/>
        </w:rPr>
        <w:t>发改委</w:t>
      </w:r>
      <w:r>
        <w:rPr>
          <w:rStyle w:val="57"/>
          <w:rFonts w:ascii="Times New Roman" w:hAnsi="Times New Roman"/>
          <w:kern w:val="0"/>
        </w:rPr>
        <w:t>、县自然资源局、县供电公司</w:t>
      </w:r>
      <w:r>
        <w:rPr>
          <w:rStyle w:val="57"/>
          <w:rFonts w:hint="eastAsia" w:ascii="Times New Roman" w:hAnsi="Times New Roman"/>
          <w:kern w:val="0"/>
        </w:rPr>
        <w:t>按职责分工负责</w:t>
      </w:r>
      <w:r>
        <w:rPr>
          <w:rStyle w:val="57"/>
          <w:rFonts w:ascii="Times New Roman" w:hAnsi="Times New Roman"/>
          <w:kern w:val="0"/>
        </w:rPr>
        <w:t>）</w:t>
      </w:r>
    </w:p>
    <w:p w14:paraId="52ADA623">
      <w:pPr>
        <w:pStyle w:val="52"/>
        <w:overflowPunct w:val="0"/>
        <w:autoSpaceDE w:val="0"/>
        <w:autoSpaceDN w:val="0"/>
        <w:spacing w:line="560" w:lineRule="exact"/>
        <w:ind w:firstLine="640"/>
        <w:outlineLvl w:val="1"/>
        <w:rPr>
          <w:rFonts w:ascii="Times New Roman"/>
          <w:b w:val="0"/>
          <w:kern w:val="0"/>
        </w:rPr>
      </w:pPr>
      <w:bookmarkStart w:id="34" w:name="_Toc112686300"/>
      <w:bookmarkStart w:id="35" w:name="_Toc95501357"/>
      <w:r>
        <w:rPr>
          <w:rFonts w:ascii="Times New Roman"/>
          <w:b w:val="0"/>
          <w:kern w:val="0"/>
        </w:rPr>
        <w:t>（六）交通运输低碳行动</w:t>
      </w:r>
      <w:bookmarkEnd w:id="34"/>
      <w:bookmarkEnd w:id="35"/>
    </w:p>
    <w:p w14:paraId="471A9F64">
      <w:pPr>
        <w:overflowPunct w:val="0"/>
        <w:autoSpaceDE w:val="0"/>
        <w:autoSpaceDN w:val="0"/>
        <w:adjustRightInd w:val="0"/>
        <w:snapToGrid w:val="0"/>
        <w:spacing w:line="560" w:lineRule="exact"/>
        <w:ind w:firstLine="643" w:firstLineChars="200"/>
        <w:outlineLvl w:val="2"/>
        <w:rPr>
          <w:rFonts w:ascii="Times New Roman" w:hAnsi="Times New Roman" w:eastAsia="方正仿宋_GBK" w:cs="Times New Roman"/>
          <w:kern w:val="0"/>
          <w:szCs w:val="32"/>
        </w:rPr>
      </w:pPr>
      <w:bookmarkStart w:id="36" w:name="_Toc109398378"/>
      <w:bookmarkStart w:id="37" w:name="_Toc112686301"/>
      <w:r>
        <w:rPr>
          <w:rStyle w:val="51"/>
          <w:b/>
          <w:kern w:val="0"/>
        </w:rPr>
        <w:t>1．</w:t>
      </w:r>
      <w:r>
        <w:rPr>
          <w:rStyle w:val="51"/>
          <w:rFonts w:hint="eastAsia"/>
          <w:b/>
          <w:kern w:val="0"/>
        </w:rPr>
        <w:t>构建绿色低碳</w:t>
      </w:r>
      <w:r>
        <w:rPr>
          <w:rStyle w:val="51"/>
          <w:b/>
          <w:kern w:val="0"/>
        </w:rPr>
        <w:t>交通运输体系。</w:t>
      </w:r>
      <w:bookmarkEnd w:id="36"/>
      <w:bookmarkEnd w:id="37"/>
      <w:r>
        <w:rPr>
          <w:rFonts w:ascii="Times New Roman" w:hAnsi="Times New Roman" w:eastAsia="仿宋_GB2312" w:cs="Times New Roman"/>
          <w:color w:val="000000" w:themeColor="text1"/>
          <w:kern w:val="0"/>
          <w:szCs w:val="32"/>
          <w14:textFill>
            <w14:solidFill>
              <w14:schemeClr w14:val="tx1"/>
            </w14:solidFill>
          </w14:textFill>
        </w:rPr>
        <w:t>围绕构建</w:t>
      </w:r>
      <w:r>
        <w:rPr>
          <w:rFonts w:hint="eastAsia" w:ascii="Times New Roman" w:hAnsi="Times New Roman" w:eastAsia="仿宋_GB2312" w:cs="Times New Roman"/>
          <w:color w:val="000000" w:themeColor="text1"/>
          <w:kern w:val="0"/>
          <w:szCs w:val="32"/>
          <w14:textFill>
            <w14:solidFill>
              <w14:schemeClr w14:val="tx1"/>
            </w14:solidFill>
          </w14:textFill>
        </w:rPr>
        <w:t>“</w:t>
      </w:r>
      <w:r>
        <w:rPr>
          <w:rFonts w:ascii="Times New Roman" w:hAnsi="Times New Roman" w:eastAsia="仿宋_GB2312" w:cs="Times New Roman"/>
          <w:color w:val="000000" w:themeColor="text1"/>
          <w:kern w:val="0"/>
          <w:szCs w:val="32"/>
          <w14:textFill>
            <w14:solidFill>
              <w14:schemeClr w14:val="tx1"/>
            </w14:solidFill>
          </w14:textFill>
        </w:rPr>
        <w:t>连接东西、贯通南北、航空航运、高速高铁、全域循环</w:t>
      </w:r>
      <w:r>
        <w:rPr>
          <w:rFonts w:hint="eastAsia" w:ascii="Times New Roman" w:hAnsi="Times New Roman" w:eastAsia="仿宋_GB2312" w:cs="Times New Roman"/>
          <w:color w:val="000000" w:themeColor="text1"/>
          <w:kern w:val="0"/>
          <w:szCs w:val="32"/>
          <w14:textFill>
            <w14:solidFill>
              <w14:schemeClr w14:val="tx1"/>
            </w14:solidFill>
          </w14:textFill>
        </w:rPr>
        <w:t>”</w:t>
      </w:r>
      <w:r>
        <w:rPr>
          <w:rFonts w:ascii="Times New Roman" w:hAnsi="Times New Roman" w:eastAsia="仿宋_GB2312" w:cs="Times New Roman"/>
          <w:color w:val="000000" w:themeColor="text1"/>
          <w:kern w:val="0"/>
          <w:szCs w:val="32"/>
          <w14:textFill>
            <w14:solidFill>
              <w14:schemeClr w14:val="tx1"/>
            </w14:solidFill>
          </w14:textFill>
        </w:rPr>
        <w:t>立体式现代化综合交通体系，加快建设综合立体交通网络，</w:t>
      </w:r>
      <w:r>
        <w:rPr>
          <w:rFonts w:hint="eastAsia" w:ascii="Times New Roman" w:hAnsi="Times New Roman" w:eastAsia="仿宋_GB2312" w:cs="Times New Roman"/>
          <w:color w:val="000000" w:themeColor="text1"/>
          <w:kern w:val="0"/>
          <w:szCs w:val="32"/>
          <w14:textFill>
            <w14:solidFill>
              <w14:schemeClr w14:val="tx1"/>
            </w14:solidFill>
          </w14:textFill>
        </w:rPr>
        <w:t>构建</w:t>
      </w:r>
      <w:r>
        <w:rPr>
          <w:rFonts w:ascii="Times New Roman" w:hAnsi="Times New Roman" w:eastAsia="仿宋_GB2312" w:cs="Times New Roman"/>
          <w:color w:val="000000" w:themeColor="text1"/>
          <w:kern w:val="0"/>
          <w:szCs w:val="32"/>
          <w14:textFill>
            <w14:solidFill>
              <w14:schemeClr w14:val="tx1"/>
            </w14:solidFill>
          </w14:textFill>
        </w:rPr>
        <w:t>公水联运体系。完善外通内联公路网，</w:t>
      </w:r>
      <w:r>
        <w:rPr>
          <w:rFonts w:hint="eastAsia" w:ascii="Times New Roman" w:hAnsi="Times New Roman" w:eastAsia="仿宋_GB2312" w:cs="Times New Roman"/>
          <w:color w:val="000000" w:themeColor="text1"/>
          <w:kern w:val="0"/>
          <w:szCs w:val="32"/>
          <w14:textFill>
            <w14:solidFill>
              <w14:schemeClr w14:val="tx1"/>
            </w14:solidFill>
          </w14:textFill>
        </w:rPr>
        <w:t>开工建设金禄高速金湖段，推进盐蚌高速金湖段前期工作</w:t>
      </w:r>
      <w:r>
        <w:rPr>
          <w:rFonts w:ascii="Times New Roman" w:hAnsi="Times New Roman" w:eastAsia="仿宋_GB2312" w:cs="Times New Roman"/>
          <w:color w:val="000000" w:themeColor="text1"/>
          <w:kern w:val="0"/>
          <w:szCs w:val="32"/>
          <w14:textFill>
            <w14:solidFill>
              <w14:schemeClr w14:val="tx1"/>
            </w14:solidFill>
          </w14:textFill>
        </w:rPr>
        <w:t>。力争加快推进宁淮铁路建设。打造绿色畅通航道网，推动金宝航道全线提升为三级航道，实施航道疏浚工程，提升淮河入江水道（邮金线）</w:t>
      </w:r>
      <w:r>
        <w:rPr>
          <w:rFonts w:hint="eastAsia" w:ascii="Times New Roman" w:hAnsi="Times New Roman" w:eastAsia="仿宋_GB2312" w:cs="Times New Roman"/>
          <w:color w:val="000000" w:themeColor="text1"/>
          <w:kern w:val="0"/>
          <w:szCs w:val="32"/>
          <w14:textFill>
            <w14:solidFill>
              <w14:schemeClr w14:val="tx1"/>
            </w14:solidFill>
          </w14:textFill>
        </w:rPr>
        <w:t>全线</w:t>
      </w:r>
      <w:r>
        <w:rPr>
          <w:rFonts w:ascii="Times New Roman" w:hAnsi="Times New Roman" w:eastAsia="仿宋_GB2312" w:cs="Times New Roman"/>
          <w:color w:val="000000" w:themeColor="text1"/>
          <w:kern w:val="0"/>
          <w:szCs w:val="32"/>
          <w14:textFill>
            <w14:solidFill>
              <w14:schemeClr w14:val="tx1"/>
            </w14:solidFill>
          </w14:textFill>
        </w:rPr>
        <w:t>达五级航道通航标准，推进航道与旅游资源融合发展。完善码头港口功能，</w:t>
      </w:r>
      <w:r>
        <w:rPr>
          <w:rFonts w:hint="eastAsia" w:ascii="Times New Roman" w:hAnsi="Times New Roman" w:eastAsia="仿宋_GB2312" w:cs="Times New Roman"/>
          <w:color w:val="000000" w:themeColor="text1"/>
          <w:kern w:val="0"/>
          <w:szCs w:val="32"/>
          <w14:textFill>
            <w14:solidFill>
              <w14:schemeClr w14:val="tx1"/>
            </w14:solidFill>
          </w14:textFill>
        </w:rPr>
        <w:t>推进</w:t>
      </w:r>
      <w:r>
        <w:rPr>
          <w:rFonts w:ascii="Times New Roman" w:hAnsi="Times New Roman" w:eastAsia="仿宋_GB2312" w:cs="Times New Roman"/>
          <w:color w:val="000000" w:themeColor="text1"/>
          <w:kern w:val="0"/>
          <w:szCs w:val="32"/>
          <w14:textFill>
            <w14:solidFill>
              <w14:schemeClr w14:val="tx1"/>
            </w14:solidFill>
          </w14:textFill>
        </w:rPr>
        <w:t>金湖港口物流园码头工程</w:t>
      </w:r>
      <w:r>
        <w:rPr>
          <w:rFonts w:hint="eastAsia" w:ascii="Times New Roman" w:hAnsi="Times New Roman" w:eastAsia="仿宋_GB2312" w:cs="Times New Roman"/>
          <w:color w:val="000000" w:themeColor="text1"/>
          <w:kern w:val="0"/>
          <w:szCs w:val="32"/>
          <w14:textFill>
            <w14:solidFill>
              <w14:schemeClr w14:val="tx1"/>
            </w14:solidFill>
          </w14:textFill>
        </w:rPr>
        <w:t>建成投运</w:t>
      </w:r>
      <w:r>
        <w:rPr>
          <w:rFonts w:ascii="Times New Roman" w:hAnsi="Times New Roman" w:eastAsia="仿宋_GB2312" w:cs="Times New Roman"/>
          <w:color w:val="000000" w:themeColor="text1"/>
          <w:kern w:val="0"/>
          <w:szCs w:val="32"/>
          <w14:textFill>
            <w14:solidFill>
              <w14:schemeClr w14:val="tx1"/>
            </w14:solidFill>
          </w14:textFill>
        </w:rPr>
        <w:t>，港口年吞吐能力达</w:t>
      </w:r>
      <w:r>
        <w:rPr>
          <w:rFonts w:hint="eastAsia" w:ascii="Times New Roman" w:hAnsi="Times New Roman" w:eastAsia="仿宋_GB2312" w:cs="Times New Roman"/>
          <w:color w:val="000000" w:themeColor="text1"/>
          <w:kern w:val="0"/>
          <w:szCs w:val="32"/>
          <w14:textFill>
            <w14:solidFill>
              <w14:schemeClr w14:val="tx1"/>
            </w14:solidFill>
          </w14:textFill>
        </w:rPr>
        <w:t>350</w:t>
      </w:r>
      <w:r>
        <w:rPr>
          <w:rFonts w:ascii="Times New Roman" w:hAnsi="Times New Roman" w:eastAsia="仿宋_GB2312" w:cs="Times New Roman"/>
          <w:color w:val="000000" w:themeColor="text1"/>
          <w:kern w:val="0"/>
          <w:szCs w:val="32"/>
          <w14:textFill>
            <w14:solidFill>
              <w14:schemeClr w14:val="tx1"/>
            </w14:solidFill>
          </w14:textFill>
        </w:rPr>
        <w:t>万吨。推进通用机场建设，完善配套交通服务。大力发展多式联运，提高水路在综合运输中的承运比例，持续降低运输能耗和二氧化碳排放强度。</w:t>
      </w:r>
      <w:r>
        <w:rPr>
          <w:rStyle w:val="57"/>
          <w:rFonts w:ascii="Times New Roman" w:hAnsi="Times New Roman"/>
          <w:kern w:val="0"/>
        </w:rPr>
        <w:t>（县交通局、县水务局</w:t>
      </w:r>
      <w:r>
        <w:rPr>
          <w:rStyle w:val="57"/>
          <w:rFonts w:hint="eastAsia" w:ascii="Times New Roman" w:hAnsi="Times New Roman"/>
          <w:kern w:val="0"/>
        </w:rPr>
        <w:t>按职责分工负责</w:t>
      </w:r>
      <w:r>
        <w:rPr>
          <w:rStyle w:val="57"/>
          <w:rFonts w:ascii="Times New Roman" w:hAnsi="Times New Roman"/>
          <w:kern w:val="0"/>
        </w:rPr>
        <w:t>）</w:t>
      </w:r>
    </w:p>
    <w:p w14:paraId="63618FB9">
      <w:pPr>
        <w:overflowPunct w:val="0"/>
        <w:autoSpaceDE w:val="0"/>
        <w:autoSpaceDN w:val="0"/>
        <w:adjustRightInd w:val="0"/>
        <w:snapToGrid w:val="0"/>
        <w:spacing w:line="560" w:lineRule="exact"/>
        <w:ind w:firstLine="643" w:firstLineChars="200"/>
        <w:outlineLvl w:val="2"/>
        <w:rPr>
          <w:rFonts w:ascii="Times New Roman" w:hAnsi="Times New Roman" w:eastAsia="方正仿宋_GBK" w:cs="Times New Roman"/>
          <w:kern w:val="0"/>
          <w:szCs w:val="32"/>
        </w:rPr>
      </w:pPr>
      <w:bookmarkStart w:id="38" w:name="_Toc109398379"/>
      <w:bookmarkStart w:id="39" w:name="_Toc112686302"/>
      <w:r>
        <w:rPr>
          <w:rStyle w:val="51"/>
          <w:b/>
          <w:kern w:val="0"/>
        </w:rPr>
        <w:t>2．加快发展绿色智慧物流。</w:t>
      </w:r>
      <w:bookmarkEnd w:id="38"/>
      <w:bookmarkEnd w:id="39"/>
      <w:r>
        <w:rPr>
          <w:rFonts w:ascii="Times New Roman" w:hAnsi="Times New Roman" w:eastAsia="仿宋_GB2312" w:cs="Times New Roman"/>
          <w:color w:val="000000" w:themeColor="text1"/>
          <w:kern w:val="0"/>
          <w:szCs w:val="32"/>
          <w14:textFill>
            <w14:solidFill>
              <w14:schemeClr w14:val="tx1"/>
            </w14:solidFill>
          </w14:textFill>
        </w:rPr>
        <w:t>推进智慧物流体系建设，支持重点物流企业整合仓储、运输等资源，加快构建数字化、智能化物流运行平台，推动物流企业与生产制造业精准对接，鼓励发展智慧仓储、智慧运输，全面提高物流运输效率，减少物流运输过程中资源能源消耗和污染物排放。深化完善城乡物流配送体系建设，创新绿色低碳、集约高效的配送模式。</w:t>
      </w:r>
      <w:r>
        <w:rPr>
          <w:rStyle w:val="57"/>
          <w:rFonts w:ascii="Times New Roman" w:hAnsi="Times New Roman"/>
          <w:kern w:val="0"/>
        </w:rPr>
        <w:t>（县交通局、县商务局、县邮政公司</w:t>
      </w:r>
      <w:r>
        <w:rPr>
          <w:rStyle w:val="57"/>
          <w:rFonts w:hint="eastAsia" w:ascii="Times New Roman" w:hAnsi="Times New Roman"/>
          <w:kern w:val="0"/>
        </w:rPr>
        <w:t>按职责分工负责</w:t>
      </w:r>
      <w:r>
        <w:rPr>
          <w:rStyle w:val="57"/>
          <w:rFonts w:ascii="Times New Roman" w:hAnsi="Times New Roman"/>
          <w:kern w:val="0"/>
        </w:rPr>
        <w:t>）</w:t>
      </w:r>
    </w:p>
    <w:p w14:paraId="30D3A897">
      <w:pPr>
        <w:tabs>
          <w:tab w:val="left" w:pos="359"/>
        </w:tabs>
        <w:overflowPunct w:val="0"/>
        <w:autoSpaceDE w:val="0"/>
        <w:autoSpaceDN w:val="0"/>
        <w:adjustRightInd w:val="0"/>
        <w:snapToGrid w:val="0"/>
        <w:spacing w:line="560" w:lineRule="exact"/>
        <w:ind w:firstLine="643" w:firstLineChars="200"/>
        <w:outlineLvl w:val="2"/>
        <w:rPr>
          <w:rFonts w:ascii="Times New Roman" w:hAnsi="Times New Roman" w:eastAsia="方正仿宋_GBK" w:cs="Times New Roman"/>
          <w:kern w:val="0"/>
          <w:szCs w:val="32"/>
        </w:rPr>
      </w:pPr>
      <w:bookmarkStart w:id="40" w:name="_Toc109398380"/>
      <w:bookmarkStart w:id="41" w:name="_Toc112686303"/>
      <w:r>
        <w:rPr>
          <w:rStyle w:val="51"/>
          <w:b/>
          <w:kern w:val="0"/>
        </w:rPr>
        <w:t>3．推广节能低碳交通工具。</w:t>
      </w:r>
      <w:bookmarkEnd w:id="40"/>
      <w:bookmarkEnd w:id="41"/>
      <w:r>
        <w:rPr>
          <w:rFonts w:ascii="Times New Roman" w:hAnsi="Times New Roman" w:eastAsia="仿宋_GB2312" w:cs="Times New Roman"/>
          <w:color w:val="000000" w:themeColor="text1"/>
          <w:kern w:val="0"/>
          <w:szCs w:val="32"/>
          <w14:textFill>
            <w14:solidFill>
              <w14:schemeClr w14:val="tx1"/>
            </w14:solidFill>
          </w14:textFill>
        </w:rPr>
        <w:t>有序推进配套电网等基础设施建设，提升城市公共交通基础设施水平。加快普及节能型交通工具，鼓励清洁能源车辆的使用，大力推广使用新能源汽车，逐步降低传统燃油汽车在新车产销和汽车保有量中的占比，推动城市公共服务车辆电动化替代。加快老旧船舶更新改造，深入推进船舶靠港使用岸电，有序探索推广内河绿色智能船舶应用。到20</w:t>
      </w:r>
      <w:r>
        <w:rPr>
          <w:rFonts w:hint="eastAsia" w:ascii="Times New Roman" w:hAnsi="Times New Roman" w:eastAsia="仿宋_GB2312" w:cs="Times New Roman"/>
          <w:color w:val="000000" w:themeColor="text1"/>
          <w:kern w:val="0"/>
          <w:szCs w:val="32"/>
          <w14:textFill>
            <w14:solidFill>
              <w14:schemeClr w14:val="tx1"/>
            </w14:solidFill>
          </w14:textFill>
        </w:rPr>
        <w:t>30</w:t>
      </w:r>
      <w:r>
        <w:rPr>
          <w:rFonts w:ascii="Times New Roman" w:hAnsi="Times New Roman" w:eastAsia="仿宋_GB2312" w:cs="Times New Roman"/>
          <w:color w:val="000000" w:themeColor="text1"/>
          <w:kern w:val="0"/>
          <w:szCs w:val="32"/>
          <w14:textFill>
            <w14:solidFill>
              <w14:schemeClr w14:val="tx1"/>
            </w14:solidFill>
          </w14:textFill>
        </w:rPr>
        <w:t>年，</w:t>
      </w:r>
      <w:r>
        <w:rPr>
          <w:rFonts w:hint="eastAsia" w:ascii="Times New Roman" w:hAnsi="Times New Roman" w:eastAsia="仿宋_GB2312" w:cs="Times New Roman"/>
          <w:color w:val="000000" w:themeColor="text1"/>
          <w:kern w:val="0"/>
          <w:szCs w:val="32"/>
          <w14:textFill>
            <w14:solidFill>
              <w14:schemeClr w14:val="tx1"/>
            </w14:solidFill>
          </w14:textFill>
        </w:rPr>
        <w:t>保持</w:t>
      </w:r>
      <w:r>
        <w:rPr>
          <w:rFonts w:ascii="Times New Roman" w:hAnsi="Times New Roman" w:eastAsia="仿宋_GB2312" w:cs="Times New Roman"/>
          <w:color w:val="000000" w:themeColor="text1"/>
          <w:kern w:val="0"/>
          <w:szCs w:val="32"/>
          <w14:textFill>
            <w14:solidFill>
              <w14:schemeClr w14:val="tx1"/>
            </w14:solidFill>
          </w14:textFill>
        </w:rPr>
        <w:t>新能源及清洁能源公交车占比为100%。</w:t>
      </w:r>
      <w:r>
        <w:rPr>
          <w:rStyle w:val="57"/>
          <w:rFonts w:ascii="Times New Roman" w:hAnsi="Times New Roman"/>
          <w:kern w:val="0"/>
        </w:rPr>
        <w:t>（县交通局</w:t>
      </w:r>
      <w:r>
        <w:rPr>
          <w:rStyle w:val="57"/>
          <w:rFonts w:hint="eastAsia" w:ascii="Times New Roman" w:hAnsi="Times New Roman"/>
          <w:kern w:val="0"/>
        </w:rPr>
        <w:t>牵头，县公安局、县商务局、金湖生态环境局按职责分工负责</w:t>
      </w:r>
      <w:r>
        <w:rPr>
          <w:rStyle w:val="57"/>
          <w:rFonts w:ascii="Times New Roman" w:hAnsi="Times New Roman"/>
          <w:kern w:val="0"/>
        </w:rPr>
        <w:t>）</w:t>
      </w:r>
    </w:p>
    <w:p w14:paraId="45012E04">
      <w:pPr>
        <w:tabs>
          <w:tab w:val="left" w:pos="359"/>
        </w:tabs>
        <w:overflowPunct w:val="0"/>
        <w:autoSpaceDE w:val="0"/>
        <w:autoSpaceDN w:val="0"/>
        <w:adjustRightInd w:val="0"/>
        <w:snapToGrid w:val="0"/>
        <w:spacing w:line="560" w:lineRule="exact"/>
        <w:ind w:firstLine="643" w:firstLineChars="200"/>
        <w:outlineLvl w:val="2"/>
        <w:rPr>
          <w:rFonts w:ascii="Times New Roman" w:hAnsi="Times New Roman" w:eastAsia="方正楷体_GBK" w:cs="Times New Roman"/>
          <w:bCs/>
          <w:kern w:val="0"/>
          <w:szCs w:val="32"/>
        </w:rPr>
      </w:pPr>
      <w:bookmarkStart w:id="42" w:name="_Toc109398381"/>
      <w:bookmarkStart w:id="43" w:name="_Toc112686304"/>
      <w:r>
        <w:rPr>
          <w:rStyle w:val="51"/>
          <w:b/>
          <w:kern w:val="0"/>
        </w:rPr>
        <w:t>4．引导公众绿色低碳出行。</w:t>
      </w:r>
      <w:bookmarkEnd w:id="42"/>
      <w:bookmarkEnd w:id="43"/>
      <w:r>
        <w:rPr>
          <w:rFonts w:ascii="Times New Roman" w:hAnsi="Times New Roman" w:eastAsia="仿宋_GB2312" w:cs="Times New Roman"/>
          <w:color w:val="000000" w:themeColor="text1"/>
          <w:kern w:val="0"/>
          <w:szCs w:val="32"/>
          <w14:textFill>
            <w14:solidFill>
              <w14:schemeClr w14:val="tx1"/>
            </w14:solidFill>
          </w14:textFill>
        </w:rPr>
        <w:t>提高公交线网密度，优化公共交通服务覆盖率，开辟旅游景区公共观光游览线，支持定制公交发展。优化慢行空间布局，结合城市空间规划，有序布局建设一批自行车道、人行步道，加快形成集环保、运动、休闲、旅游等功能于一体的慢行系统。加大公共自行车投放力度，围绕全域旅游发展，在有条件的旅游景点设置自行车租赁系统，推广</w:t>
      </w:r>
      <w:r>
        <w:rPr>
          <w:rFonts w:hint="eastAsia" w:ascii="Times New Roman" w:hAnsi="Times New Roman" w:eastAsia="仿宋_GB2312" w:cs="Times New Roman"/>
          <w:color w:val="000000" w:themeColor="text1"/>
          <w:kern w:val="0"/>
          <w:szCs w:val="32"/>
          <w14:textFill>
            <w14:solidFill>
              <w14:schemeClr w14:val="tx1"/>
            </w14:solidFill>
          </w14:textFill>
        </w:rPr>
        <w:t>“</w:t>
      </w:r>
      <w:r>
        <w:rPr>
          <w:rFonts w:ascii="Times New Roman" w:hAnsi="Times New Roman" w:eastAsia="仿宋_GB2312" w:cs="Times New Roman"/>
          <w:color w:val="000000" w:themeColor="text1"/>
          <w:kern w:val="0"/>
          <w:szCs w:val="32"/>
          <w14:textFill>
            <w14:solidFill>
              <w14:schemeClr w14:val="tx1"/>
            </w14:solidFill>
          </w14:textFill>
        </w:rPr>
        <w:t>公共自行车+公交汽车+公共自行车</w:t>
      </w:r>
      <w:r>
        <w:rPr>
          <w:rFonts w:hint="eastAsia" w:ascii="Times New Roman" w:hAnsi="Times New Roman" w:eastAsia="仿宋_GB2312" w:cs="Times New Roman"/>
          <w:color w:val="000000" w:themeColor="text1"/>
          <w:kern w:val="0"/>
          <w:szCs w:val="32"/>
          <w14:textFill>
            <w14:solidFill>
              <w14:schemeClr w14:val="tx1"/>
            </w14:solidFill>
          </w14:textFill>
        </w:rPr>
        <w:t>”</w:t>
      </w:r>
      <w:r>
        <w:rPr>
          <w:rFonts w:ascii="Times New Roman" w:hAnsi="Times New Roman" w:eastAsia="仿宋_GB2312" w:cs="Times New Roman"/>
          <w:color w:val="000000" w:themeColor="text1"/>
          <w:kern w:val="0"/>
          <w:szCs w:val="32"/>
          <w14:textFill>
            <w14:solidFill>
              <w14:schemeClr w14:val="tx1"/>
            </w14:solidFill>
          </w14:textFill>
        </w:rPr>
        <w:t>的出行模式。</w:t>
      </w:r>
      <w:r>
        <w:rPr>
          <w:rStyle w:val="57"/>
          <w:rFonts w:ascii="Times New Roman" w:hAnsi="Times New Roman"/>
          <w:kern w:val="0"/>
        </w:rPr>
        <w:t>（县交通局牵头</w:t>
      </w:r>
      <w:r>
        <w:rPr>
          <w:rStyle w:val="57"/>
          <w:rFonts w:hint="eastAsia" w:ascii="Times New Roman" w:hAnsi="Times New Roman"/>
          <w:kern w:val="0"/>
        </w:rPr>
        <w:t>，</w:t>
      </w:r>
      <w:r>
        <w:rPr>
          <w:rStyle w:val="57"/>
          <w:rFonts w:ascii="Times New Roman" w:hAnsi="Times New Roman"/>
          <w:kern w:val="0"/>
        </w:rPr>
        <w:t>县住建局、县文广旅游局</w:t>
      </w:r>
      <w:r>
        <w:rPr>
          <w:rStyle w:val="57"/>
          <w:rFonts w:hint="eastAsia" w:ascii="Times New Roman" w:hAnsi="Times New Roman"/>
          <w:kern w:val="0"/>
        </w:rPr>
        <w:t>按职责分工负责</w:t>
      </w:r>
      <w:r>
        <w:rPr>
          <w:rStyle w:val="57"/>
          <w:rFonts w:ascii="Times New Roman" w:hAnsi="Times New Roman"/>
          <w:kern w:val="0"/>
        </w:rPr>
        <w:t>）</w:t>
      </w:r>
    </w:p>
    <w:p w14:paraId="657A6E2E">
      <w:pPr>
        <w:pStyle w:val="52"/>
        <w:overflowPunct w:val="0"/>
        <w:autoSpaceDE w:val="0"/>
        <w:autoSpaceDN w:val="0"/>
        <w:spacing w:line="560" w:lineRule="exact"/>
        <w:ind w:firstLine="640"/>
        <w:outlineLvl w:val="1"/>
        <w:rPr>
          <w:rFonts w:ascii="Times New Roman"/>
          <w:b w:val="0"/>
          <w:kern w:val="0"/>
        </w:rPr>
      </w:pPr>
      <w:bookmarkStart w:id="44" w:name="_Toc112686305"/>
      <w:r>
        <w:rPr>
          <w:rFonts w:ascii="Times New Roman"/>
          <w:b w:val="0"/>
          <w:kern w:val="0"/>
        </w:rPr>
        <w:t>（七）科技创新减碳行动</w:t>
      </w:r>
      <w:bookmarkEnd w:id="44"/>
    </w:p>
    <w:p w14:paraId="18447B65">
      <w:pPr>
        <w:overflowPunct w:val="0"/>
        <w:autoSpaceDE w:val="0"/>
        <w:autoSpaceDN w:val="0"/>
        <w:adjustRightInd w:val="0"/>
        <w:snapToGrid w:val="0"/>
        <w:spacing w:line="560" w:lineRule="exact"/>
        <w:ind w:firstLine="643" w:firstLineChars="200"/>
        <w:outlineLvl w:val="2"/>
        <w:rPr>
          <w:rFonts w:ascii="Times New Roman" w:hAnsi="Times New Roman" w:eastAsia="方正仿宋_GBK" w:cs="Times New Roman"/>
          <w:kern w:val="0"/>
          <w:szCs w:val="32"/>
        </w:rPr>
      </w:pPr>
      <w:bookmarkStart w:id="45" w:name="_Toc112686306"/>
      <w:bookmarkStart w:id="46" w:name="_Toc109398383"/>
      <w:r>
        <w:rPr>
          <w:rStyle w:val="51"/>
          <w:b/>
          <w:kern w:val="0"/>
        </w:rPr>
        <w:t>1．多措并举夯实创新基石。</w:t>
      </w:r>
      <w:bookmarkEnd w:id="45"/>
      <w:bookmarkEnd w:id="46"/>
      <w:r>
        <w:rPr>
          <w:rFonts w:ascii="Times New Roman" w:hAnsi="Times New Roman" w:eastAsia="仿宋_GB2312" w:cs="Times New Roman"/>
          <w:color w:val="000000" w:themeColor="text1"/>
          <w:kern w:val="0"/>
          <w:szCs w:val="32"/>
          <w14:textFill>
            <w14:solidFill>
              <w14:schemeClr w14:val="tx1"/>
            </w14:solidFill>
          </w14:textFill>
        </w:rPr>
        <w:t>加大力度引进培养新能源、储能、碳减排、碳汇、碳排放权交易等领域的多层次人才。深化产教融合，支持企业与南京等地知名高校联合开展产学合作协同育人项目。强化企业创新主体地位，支持企业承担绿色低碳科技项目，鼓励设施、数据等资源开放共享。加强绿色低碳技术和产品知识产权保护。鼓励企业参与绿色低碳技术和产品检测、评估、认证体系。支持企业探索布局建设碳达峰碳中和相关技术创新中心、产业创新中心。到202</w:t>
      </w:r>
      <w:r>
        <w:rPr>
          <w:rFonts w:hint="eastAsia" w:ascii="Times New Roman" w:hAnsi="Times New Roman" w:eastAsia="仿宋_GB2312" w:cs="Times New Roman"/>
          <w:color w:val="000000" w:themeColor="text1"/>
          <w:kern w:val="0"/>
          <w:szCs w:val="32"/>
          <w14:textFill>
            <w14:solidFill>
              <w14:schemeClr w14:val="tx1"/>
            </w14:solidFill>
          </w14:textFill>
        </w:rPr>
        <w:t>6</w:t>
      </w:r>
      <w:r>
        <w:rPr>
          <w:rFonts w:ascii="Times New Roman" w:hAnsi="Times New Roman" w:eastAsia="仿宋_GB2312" w:cs="Times New Roman"/>
          <w:color w:val="000000" w:themeColor="text1"/>
          <w:kern w:val="0"/>
          <w:szCs w:val="32"/>
          <w14:textFill>
            <w14:solidFill>
              <w14:schemeClr w14:val="tx1"/>
            </w14:solidFill>
          </w14:textFill>
        </w:rPr>
        <w:t>年底，</w:t>
      </w:r>
      <w:r>
        <w:rPr>
          <w:rFonts w:hint="eastAsia" w:ascii="Times New Roman" w:hAnsi="Times New Roman" w:eastAsia="仿宋_GB2312" w:cs="Times New Roman"/>
          <w:color w:val="000000" w:themeColor="text1"/>
          <w:kern w:val="0"/>
          <w:szCs w:val="32"/>
          <w14:textFill>
            <w14:solidFill>
              <w14:schemeClr w14:val="tx1"/>
            </w14:solidFill>
          </w14:textFill>
        </w:rPr>
        <w:t>规上</w:t>
      </w:r>
      <w:r>
        <w:rPr>
          <w:rFonts w:ascii="Times New Roman" w:hAnsi="Times New Roman" w:eastAsia="仿宋_GB2312" w:cs="Times New Roman"/>
          <w:color w:val="000000" w:themeColor="text1"/>
          <w:kern w:val="0"/>
          <w:szCs w:val="32"/>
          <w14:textFill>
            <w14:solidFill>
              <w14:schemeClr w14:val="tx1"/>
            </w14:solidFill>
          </w14:textFill>
        </w:rPr>
        <w:t>企业研发经费投入较上年增长</w:t>
      </w:r>
      <w:r>
        <w:rPr>
          <w:rFonts w:hint="eastAsia" w:ascii="Times New Roman" w:hAnsi="Times New Roman" w:eastAsia="仿宋_GB2312" w:cs="Times New Roman"/>
          <w:color w:val="000000" w:themeColor="text1"/>
          <w:kern w:val="0"/>
          <w:szCs w:val="32"/>
          <w14:textFill>
            <w14:solidFill>
              <w14:schemeClr w14:val="tx1"/>
            </w14:solidFill>
          </w14:textFill>
        </w:rPr>
        <w:t>20%</w:t>
      </w:r>
      <w:r>
        <w:rPr>
          <w:rFonts w:ascii="Times New Roman" w:hAnsi="Times New Roman" w:eastAsia="仿宋_GB2312" w:cs="Times New Roman"/>
          <w:color w:val="000000" w:themeColor="text1"/>
          <w:kern w:val="0"/>
          <w:szCs w:val="32"/>
          <w14:textFill>
            <w14:solidFill>
              <w14:schemeClr w14:val="tx1"/>
            </w14:solidFill>
          </w14:textFill>
        </w:rPr>
        <w:t>，国家高新技术企业</w:t>
      </w:r>
      <w:r>
        <w:rPr>
          <w:rFonts w:hint="eastAsia" w:ascii="Times New Roman" w:hAnsi="Times New Roman" w:eastAsia="仿宋_GB2312" w:cs="Times New Roman"/>
          <w:color w:val="000000" w:themeColor="text1"/>
          <w:kern w:val="0"/>
          <w:szCs w:val="32"/>
          <w14:textFill>
            <w14:solidFill>
              <w14:schemeClr w14:val="tx1"/>
            </w14:solidFill>
          </w14:textFill>
        </w:rPr>
        <w:t>数量突破210</w:t>
      </w:r>
      <w:r>
        <w:rPr>
          <w:rFonts w:ascii="Times New Roman" w:hAnsi="Times New Roman" w:eastAsia="仿宋_GB2312" w:cs="Times New Roman"/>
          <w:color w:val="000000" w:themeColor="text1"/>
          <w:kern w:val="0"/>
          <w:szCs w:val="32"/>
          <w14:textFill>
            <w14:solidFill>
              <w14:schemeClr w14:val="tx1"/>
            </w14:solidFill>
          </w14:textFill>
        </w:rPr>
        <w:t>家。到20</w:t>
      </w:r>
      <w:r>
        <w:rPr>
          <w:rFonts w:hint="eastAsia" w:ascii="Times New Roman" w:hAnsi="Times New Roman" w:eastAsia="仿宋_GB2312" w:cs="Times New Roman"/>
          <w:color w:val="000000" w:themeColor="text1"/>
          <w:kern w:val="0"/>
          <w:szCs w:val="32"/>
          <w14:textFill>
            <w14:solidFill>
              <w14:schemeClr w14:val="tx1"/>
            </w14:solidFill>
          </w14:textFill>
        </w:rPr>
        <w:t>30年</w:t>
      </w:r>
      <w:r>
        <w:rPr>
          <w:rFonts w:ascii="Times New Roman" w:hAnsi="Times New Roman" w:eastAsia="仿宋_GB2312" w:cs="Times New Roman"/>
          <w:color w:val="000000" w:themeColor="text1"/>
          <w:kern w:val="0"/>
          <w:szCs w:val="32"/>
          <w14:textFill>
            <w14:solidFill>
              <w14:schemeClr w14:val="tx1"/>
            </w14:solidFill>
          </w14:textFill>
        </w:rPr>
        <w:t>，力争</w:t>
      </w:r>
      <w:r>
        <w:rPr>
          <w:rFonts w:hint="eastAsia" w:ascii="Times New Roman" w:hAnsi="Times New Roman" w:eastAsia="仿宋_GB2312" w:cs="Times New Roman"/>
          <w:color w:val="000000" w:themeColor="text1"/>
          <w:kern w:val="0"/>
          <w:szCs w:val="32"/>
          <w14:textFill>
            <w14:solidFill>
              <w14:schemeClr w14:val="tx1"/>
            </w14:solidFill>
          </w14:textFill>
        </w:rPr>
        <w:t>规上企业研发经费投入年均增长20%</w:t>
      </w:r>
      <w:r>
        <w:rPr>
          <w:rFonts w:ascii="Times New Roman" w:hAnsi="Times New Roman" w:eastAsia="仿宋_GB2312" w:cs="Times New Roman"/>
          <w:color w:val="000000" w:themeColor="text1"/>
          <w:kern w:val="0"/>
          <w:szCs w:val="32"/>
          <w14:textFill>
            <w14:solidFill>
              <w14:schemeClr w14:val="tx1"/>
            </w14:solidFill>
          </w14:textFill>
        </w:rPr>
        <w:t>，国家高新技术企业数量</w:t>
      </w:r>
      <w:r>
        <w:rPr>
          <w:rFonts w:hint="eastAsia" w:ascii="Times New Roman" w:hAnsi="Times New Roman" w:eastAsia="仿宋_GB2312" w:cs="Times New Roman"/>
          <w:color w:val="000000" w:themeColor="text1"/>
          <w:kern w:val="0"/>
          <w:szCs w:val="32"/>
          <w14:textFill>
            <w14:solidFill>
              <w14:schemeClr w14:val="tx1"/>
            </w14:solidFill>
          </w14:textFill>
        </w:rPr>
        <w:t>突破380</w:t>
      </w:r>
      <w:r>
        <w:rPr>
          <w:rFonts w:ascii="Times New Roman" w:hAnsi="Times New Roman" w:eastAsia="仿宋_GB2312" w:cs="Times New Roman"/>
          <w:color w:val="000000" w:themeColor="text1"/>
          <w:kern w:val="0"/>
          <w:szCs w:val="32"/>
          <w14:textFill>
            <w14:solidFill>
              <w14:schemeClr w14:val="tx1"/>
            </w14:solidFill>
          </w14:textFill>
        </w:rPr>
        <w:t>家</w:t>
      </w:r>
      <w:r>
        <w:rPr>
          <w:rFonts w:hint="eastAsia" w:ascii="Times New Roman" w:hAnsi="Times New Roman" w:eastAsia="仿宋_GB2312" w:cs="Times New Roman"/>
          <w:color w:val="000000" w:themeColor="text1"/>
          <w:kern w:val="0"/>
          <w:szCs w:val="32"/>
          <w14:textFill>
            <w14:solidFill>
              <w14:schemeClr w14:val="tx1"/>
            </w14:solidFill>
          </w14:textFill>
        </w:rPr>
        <w:t>，创新型领军企业、瞪羚企业、潜在独角兽企业突破10家。</w:t>
      </w:r>
      <w:r>
        <w:rPr>
          <w:rStyle w:val="57"/>
          <w:rFonts w:ascii="Times New Roman" w:hAnsi="Times New Roman"/>
          <w:kern w:val="0"/>
        </w:rPr>
        <w:t>（县科技局</w:t>
      </w:r>
      <w:r>
        <w:rPr>
          <w:rStyle w:val="57"/>
          <w:rFonts w:hint="eastAsia" w:ascii="Times New Roman" w:hAnsi="Times New Roman"/>
          <w:kern w:val="0"/>
        </w:rPr>
        <w:t>牵头，</w:t>
      </w:r>
      <w:r>
        <w:rPr>
          <w:rStyle w:val="57"/>
          <w:rFonts w:ascii="Times New Roman" w:hAnsi="Times New Roman"/>
          <w:kern w:val="0"/>
        </w:rPr>
        <w:t>县发改委、县教体局、县工信局、县人社局、县市场监管局、县委人才办</w:t>
      </w:r>
      <w:r>
        <w:rPr>
          <w:rStyle w:val="57"/>
          <w:rFonts w:hint="eastAsia" w:ascii="Times New Roman" w:hAnsi="Times New Roman"/>
          <w:kern w:val="0"/>
        </w:rPr>
        <w:t>按职责分工负责</w:t>
      </w:r>
      <w:r>
        <w:rPr>
          <w:rStyle w:val="57"/>
          <w:rFonts w:ascii="Times New Roman" w:hAnsi="Times New Roman"/>
          <w:kern w:val="0"/>
        </w:rPr>
        <w:t>）</w:t>
      </w:r>
    </w:p>
    <w:p w14:paraId="163E9F8B">
      <w:pPr>
        <w:overflowPunct w:val="0"/>
        <w:autoSpaceDE w:val="0"/>
        <w:autoSpaceDN w:val="0"/>
        <w:adjustRightInd w:val="0"/>
        <w:snapToGrid w:val="0"/>
        <w:spacing w:line="560" w:lineRule="exact"/>
        <w:ind w:firstLine="643" w:firstLineChars="200"/>
        <w:outlineLvl w:val="2"/>
        <w:rPr>
          <w:rFonts w:ascii="Times New Roman" w:hAnsi="Times New Roman" w:eastAsia="方正仿宋_GBK" w:cs="Times New Roman"/>
          <w:kern w:val="0"/>
          <w:szCs w:val="32"/>
        </w:rPr>
      </w:pPr>
      <w:bookmarkStart w:id="47" w:name="_Toc109398384"/>
      <w:bookmarkStart w:id="48" w:name="_Toc112686307"/>
      <w:r>
        <w:rPr>
          <w:rStyle w:val="51"/>
          <w:b/>
          <w:kern w:val="0"/>
        </w:rPr>
        <w:t>2．鼓励绿色低碳技术创新。</w:t>
      </w:r>
      <w:bookmarkEnd w:id="47"/>
      <w:bookmarkEnd w:id="48"/>
      <w:r>
        <w:rPr>
          <w:rFonts w:ascii="Times New Roman" w:hAnsi="Times New Roman" w:eastAsia="仿宋_GB2312" w:cs="Times New Roman"/>
          <w:color w:val="000000" w:themeColor="text1"/>
          <w:kern w:val="0"/>
          <w:szCs w:val="32"/>
          <w14:textFill>
            <w14:solidFill>
              <w14:schemeClr w14:val="tx1"/>
            </w14:solidFill>
          </w14:textFill>
        </w:rPr>
        <w:t>鼓励企业开展低碳零碳负碳相关技术装备研发，参与深化应用基础研究。支持企业参与低成本二氧化碳捕集利用与封存等技术创新工作</w:t>
      </w:r>
      <w:r>
        <w:rPr>
          <w:rFonts w:hint="eastAsia" w:ascii="Times New Roman" w:hAnsi="Times New Roman" w:eastAsia="仿宋_GB2312" w:cs="Times New Roman"/>
          <w:color w:val="000000" w:themeColor="text1"/>
          <w:kern w:val="0"/>
          <w:szCs w:val="32"/>
          <w14:textFill>
            <w14:solidFill>
              <w14:schemeClr w14:val="tx1"/>
            </w14:solidFill>
          </w14:textFill>
        </w:rPr>
        <w:t>，</w:t>
      </w:r>
      <w:r>
        <w:rPr>
          <w:rFonts w:ascii="Times New Roman" w:hAnsi="Times New Roman" w:eastAsia="仿宋_GB2312" w:cs="Times New Roman"/>
          <w:color w:val="000000" w:themeColor="text1"/>
          <w:kern w:val="0"/>
          <w:szCs w:val="32"/>
          <w14:textFill>
            <w14:solidFill>
              <w14:schemeClr w14:val="tx1"/>
            </w14:solidFill>
          </w14:textFill>
        </w:rPr>
        <w:t>大力支持企业加强对太阳能和风能高效利用、大型风电、新型储能电池、先进高效安全储能等节能低碳关键技术攻关，在重点区域和行业推进应用示范。加大力度推动绿色低碳领域科研成果转化和产业化，加快培育形成一批绿色技术创新企业。</w:t>
      </w:r>
      <w:r>
        <w:rPr>
          <w:rStyle w:val="57"/>
          <w:rFonts w:ascii="Times New Roman" w:hAnsi="Times New Roman"/>
          <w:kern w:val="0"/>
        </w:rPr>
        <w:t>（县科技局、县工信局</w:t>
      </w:r>
      <w:r>
        <w:rPr>
          <w:rStyle w:val="57"/>
          <w:rFonts w:hint="eastAsia" w:ascii="Times New Roman" w:hAnsi="Times New Roman"/>
          <w:kern w:val="0"/>
        </w:rPr>
        <w:t>按职责分工负责</w:t>
      </w:r>
      <w:r>
        <w:rPr>
          <w:rStyle w:val="57"/>
          <w:rFonts w:ascii="Times New Roman" w:hAnsi="Times New Roman"/>
          <w:kern w:val="0"/>
        </w:rPr>
        <w:t>）</w:t>
      </w:r>
    </w:p>
    <w:p w14:paraId="04497C47">
      <w:pPr>
        <w:overflowPunct w:val="0"/>
        <w:autoSpaceDE w:val="0"/>
        <w:autoSpaceDN w:val="0"/>
        <w:adjustRightInd w:val="0"/>
        <w:snapToGrid w:val="0"/>
        <w:spacing w:line="560" w:lineRule="exact"/>
        <w:ind w:firstLine="643" w:firstLineChars="200"/>
        <w:outlineLvl w:val="2"/>
        <w:rPr>
          <w:rFonts w:ascii="Times New Roman" w:hAnsi="Times New Roman" w:eastAsia="方正仿宋_GBK" w:cs="Times New Roman"/>
          <w:kern w:val="0"/>
          <w:szCs w:val="32"/>
        </w:rPr>
      </w:pPr>
      <w:bookmarkStart w:id="49" w:name="_Toc109398385"/>
      <w:bookmarkStart w:id="50" w:name="_Toc112686308"/>
      <w:r>
        <w:rPr>
          <w:rStyle w:val="51"/>
          <w:b/>
          <w:kern w:val="0"/>
        </w:rPr>
        <w:t>3．加速科技创新成果转化。</w:t>
      </w:r>
      <w:bookmarkEnd w:id="49"/>
      <w:bookmarkEnd w:id="50"/>
      <w:r>
        <w:rPr>
          <w:rFonts w:ascii="Times New Roman" w:hAnsi="Times New Roman" w:eastAsia="仿宋_GB2312" w:cs="Times New Roman"/>
          <w:color w:val="000000" w:themeColor="text1"/>
          <w:kern w:val="0"/>
          <w:szCs w:val="32"/>
          <w14:textFill>
            <w14:solidFill>
              <w14:schemeClr w14:val="tx1"/>
            </w14:solidFill>
          </w14:textFill>
        </w:rPr>
        <w:t>及时落实绿色技术推广目录，加快先进成熟绿色低碳技术推广应用和转化产业化。鼓励企业探索规模化碳捕集利用与封存技术产业化应用。积极利用首台（套）重大技术装备政策支持绿色技术应用。加快引进低碳技术服务机构，提升能源、节能、环保相关的专业化审计、咨询、监测等服务能力。到202</w:t>
      </w:r>
      <w:r>
        <w:rPr>
          <w:rFonts w:hint="eastAsia" w:ascii="Times New Roman" w:hAnsi="Times New Roman" w:eastAsia="仿宋_GB2312" w:cs="Times New Roman"/>
          <w:color w:val="000000" w:themeColor="text1"/>
          <w:kern w:val="0"/>
          <w:szCs w:val="32"/>
          <w14:textFill>
            <w14:solidFill>
              <w14:schemeClr w14:val="tx1"/>
            </w14:solidFill>
          </w14:textFill>
        </w:rPr>
        <w:t>6</w:t>
      </w:r>
      <w:r>
        <w:rPr>
          <w:rFonts w:ascii="Times New Roman" w:hAnsi="Times New Roman" w:eastAsia="仿宋_GB2312" w:cs="Times New Roman"/>
          <w:color w:val="000000" w:themeColor="text1"/>
          <w:kern w:val="0"/>
          <w:szCs w:val="32"/>
          <w14:textFill>
            <w14:solidFill>
              <w14:schemeClr w14:val="tx1"/>
            </w14:solidFill>
          </w14:textFill>
        </w:rPr>
        <w:t>年底</w:t>
      </w:r>
      <w:r>
        <w:rPr>
          <w:rFonts w:hint="eastAsia" w:ascii="Times New Roman" w:hAnsi="Times New Roman" w:eastAsia="仿宋_GB2312" w:cs="Times New Roman"/>
          <w:color w:val="000000" w:themeColor="text1"/>
          <w:kern w:val="0"/>
          <w:szCs w:val="32"/>
          <w14:textFill>
            <w14:solidFill>
              <w14:schemeClr w14:val="tx1"/>
            </w14:solidFill>
          </w14:textFill>
        </w:rPr>
        <w:t>，力争累计推动通过15个省级首台（套）重大装备项目认定。“十五五”期间，力争每年推动通过1个以上省级首台（套）重大装备项目认定。</w:t>
      </w:r>
      <w:r>
        <w:rPr>
          <w:rStyle w:val="57"/>
          <w:rFonts w:ascii="Times New Roman" w:hAnsi="Times New Roman"/>
          <w:kern w:val="0"/>
        </w:rPr>
        <w:t>（县科技局、县工信局</w:t>
      </w:r>
      <w:r>
        <w:rPr>
          <w:rStyle w:val="57"/>
          <w:rFonts w:hint="eastAsia" w:ascii="Times New Roman" w:hAnsi="Times New Roman"/>
          <w:kern w:val="0"/>
        </w:rPr>
        <w:t>按职责分工负责</w:t>
      </w:r>
      <w:r>
        <w:rPr>
          <w:rStyle w:val="57"/>
          <w:rFonts w:ascii="Times New Roman" w:hAnsi="Times New Roman"/>
          <w:kern w:val="0"/>
        </w:rPr>
        <w:t>）</w:t>
      </w:r>
    </w:p>
    <w:p w14:paraId="370728D6">
      <w:pPr>
        <w:pStyle w:val="52"/>
        <w:overflowPunct w:val="0"/>
        <w:autoSpaceDE w:val="0"/>
        <w:autoSpaceDN w:val="0"/>
        <w:spacing w:line="560" w:lineRule="exact"/>
        <w:ind w:firstLine="640"/>
        <w:outlineLvl w:val="1"/>
        <w:rPr>
          <w:rFonts w:ascii="Times New Roman"/>
          <w:b w:val="0"/>
          <w:kern w:val="0"/>
        </w:rPr>
      </w:pPr>
      <w:bookmarkStart w:id="51" w:name="_Toc112686309"/>
      <w:r>
        <w:rPr>
          <w:rFonts w:ascii="Times New Roman"/>
          <w:b w:val="0"/>
          <w:kern w:val="0"/>
        </w:rPr>
        <w:t>（八）碳汇能力提升行动</w:t>
      </w:r>
      <w:bookmarkEnd w:id="51"/>
    </w:p>
    <w:p w14:paraId="6F50DBC6">
      <w:pPr>
        <w:pStyle w:val="48"/>
        <w:overflowPunct w:val="0"/>
        <w:autoSpaceDE w:val="0"/>
        <w:autoSpaceDN w:val="0"/>
        <w:adjustRightInd w:val="0"/>
        <w:snapToGrid w:val="0"/>
        <w:spacing w:before="0" w:after="0" w:line="560" w:lineRule="exact"/>
        <w:ind w:firstLine="643" w:firstLineChars="200"/>
        <w:outlineLvl w:val="2"/>
        <w:rPr>
          <w:rStyle w:val="47"/>
          <w:rFonts w:ascii="Times New Roman" w:hAnsi="Times New Roman" w:eastAsia="方正楷体_GBK"/>
          <w:kern w:val="0"/>
          <w:sz w:val="32"/>
          <w:szCs w:val="32"/>
        </w:rPr>
      </w:pPr>
      <w:bookmarkStart w:id="52" w:name="_Toc109398387"/>
      <w:bookmarkStart w:id="53" w:name="_Toc112686310"/>
      <w:r>
        <w:rPr>
          <w:rStyle w:val="51"/>
          <w:b/>
          <w:kern w:val="0"/>
        </w:rPr>
        <w:t>1．提升生态系统碳汇能力。</w:t>
      </w:r>
      <w:bookmarkEnd w:id="52"/>
      <w:bookmarkEnd w:id="53"/>
      <w:r>
        <w:rPr>
          <w:rFonts w:ascii="Times New Roman" w:hAnsi="Times New Roman" w:eastAsia="仿宋_GB2312"/>
          <w:color w:val="000000" w:themeColor="text1"/>
          <w:kern w:val="0"/>
          <w:sz w:val="32"/>
          <w:szCs w:val="32"/>
          <w14:textFill>
            <w14:solidFill>
              <w14:schemeClr w14:val="tx1"/>
            </w14:solidFill>
          </w14:textFill>
        </w:rPr>
        <w:t>强化国土空间规划和用途管控，严守生态保护红线，严控生态空间占用，稳定现有森林、湿地、耕地的固碳作用。协同推进生物多样性保护和山水林田湖草系统治理，着力提高森林质量和林木覆盖率，开展耕地质量提升行动，深入推进大规模国土绿化行动，提升生态系统碳汇增量。大力落实主体功能区战略，明确生态红线保护区边界，加大河湖、森林等生态空间保护力度，积极推进白马湖国家湿地公园建设，构筑形成以水为主体的生态空间网架，巩固提升生态系统固碳作用，全面提高生态系统碳汇能力。</w:t>
      </w:r>
      <w:r>
        <w:rPr>
          <w:rFonts w:hint="eastAsia" w:ascii="Times New Roman" w:hAnsi="Times New Roman" w:eastAsia="仿宋_GB2312"/>
          <w:color w:val="000000" w:themeColor="text1"/>
          <w:kern w:val="0"/>
          <w:sz w:val="32"/>
          <w:szCs w:val="32"/>
          <w14:textFill>
            <w14:solidFill>
              <w14:schemeClr w14:val="tx1"/>
            </w14:solidFill>
          </w14:textFill>
        </w:rPr>
        <w:t>统筹做好湿地生态修复，</w:t>
      </w:r>
      <w:r>
        <w:rPr>
          <w:rFonts w:ascii="Times New Roman" w:hAnsi="Times New Roman" w:eastAsia="仿宋_GB2312"/>
          <w:color w:val="000000" w:themeColor="text1"/>
          <w:kern w:val="0"/>
          <w:sz w:val="32"/>
          <w:szCs w:val="32"/>
          <w14:textFill>
            <w14:solidFill>
              <w14:schemeClr w14:val="tx1"/>
            </w14:solidFill>
          </w14:textFill>
        </w:rPr>
        <w:t>加强湿地公园、湿地自然保护区、湿地保护小区建设</w:t>
      </w:r>
      <w:r>
        <w:rPr>
          <w:rFonts w:hint="eastAsia" w:ascii="Times New Roman" w:hAnsi="Times New Roman" w:eastAsia="仿宋_GB2312"/>
          <w:color w:val="000000" w:themeColor="text1"/>
          <w:kern w:val="0"/>
          <w:sz w:val="32"/>
          <w:szCs w:val="32"/>
          <w14:textFill>
            <w14:solidFill>
              <w14:schemeClr w14:val="tx1"/>
            </w14:solidFill>
          </w14:textFill>
        </w:rPr>
        <w:t>，涵养湿地生态特色品质。</w:t>
      </w:r>
      <w:r>
        <w:rPr>
          <w:rStyle w:val="57"/>
          <w:rFonts w:ascii="Times New Roman" w:hAnsi="Times New Roman" w:cstheme="minorBidi"/>
          <w:kern w:val="0"/>
        </w:rPr>
        <w:t>（县自然资源局、金湖生态环境局</w:t>
      </w:r>
      <w:r>
        <w:rPr>
          <w:rStyle w:val="57"/>
          <w:rFonts w:hint="eastAsia" w:ascii="Times New Roman" w:hAnsi="Times New Roman" w:cstheme="minorBidi"/>
          <w:kern w:val="0"/>
        </w:rPr>
        <w:t>牵头，</w:t>
      </w:r>
      <w:r>
        <w:rPr>
          <w:rStyle w:val="57"/>
          <w:rFonts w:ascii="Times New Roman" w:hAnsi="Times New Roman" w:cstheme="minorBidi"/>
          <w:kern w:val="0"/>
        </w:rPr>
        <w:t>县发改委、</w:t>
      </w:r>
      <w:r>
        <w:rPr>
          <w:rStyle w:val="57"/>
          <w:rFonts w:ascii="Times New Roman" w:hAnsi="Times New Roman"/>
          <w:kern w:val="0"/>
        </w:rPr>
        <w:t>县水务局、</w:t>
      </w:r>
      <w:r>
        <w:rPr>
          <w:rStyle w:val="57"/>
          <w:rFonts w:ascii="Times New Roman" w:hAnsi="Times New Roman" w:cstheme="minorBidi"/>
          <w:kern w:val="0"/>
        </w:rPr>
        <w:t>县农业农村局、县统计局</w:t>
      </w:r>
      <w:r>
        <w:rPr>
          <w:rStyle w:val="57"/>
          <w:rFonts w:hint="eastAsia" w:ascii="Times New Roman" w:hAnsi="Times New Roman"/>
          <w:kern w:val="0"/>
        </w:rPr>
        <w:t>按职责分工负责</w:t>
      </w:r>
      <w:r>
        <w:rPr>
          <w:rStyle w:val="57"/>
          <w:rFonts w:ascii="Times New Roman" w:hAnsi="Times New Roman" w:cstheme="minorBidi"/>
          <w:kern w:val="0"/>
        </w:rPr>
        <w:t>）</w:t>
      </w:r>
    </w:p>
    <w:p w14:paraId="1D8C0356">
      <w:pPr>
        <w:overflowPunct w:val="0"/>
        <w:autoSpaceDE w:val="0"/>
        <w:autoSpaceDN w:val="0"/>
        <w:adjustRightInd w:val="0"/>
        <w:snapToGrid w:val="0"/>
        <w:spacing w:line="560" w:lineRule="exact"/>
        <w:ind w:firstLine="643" w:firstLineChars="200"/>
        <w:outlineLvl w:val="2"/>
        <w:rPr>
          <w:rFonts w:ascii="Times New Roman" w:hAnsi="Times New Roman" w:eastAsia="方正仿宋_GBK" w:cs="Times New Roman"/>
          <w:kern w:val="0"/>
          <w:szCs w:val="32"/>
        </w:rPr>
      </w:pPr>
      <w:bookmarkStart w:id="54" w:name="_Toc109398388"/>
      <w:bookmarkStart w:id="55" w:name="_Toc112686311"/>
      <w:r>
        <w:rPr>
          <w:rStyle w:val="51"/>
          <w:b/>
          <w:kern w:val="0"/>
        </w:rPr>
        <w:t>2．积极推进碳汇产业发展。</w:t>
      </w:r>
      <w:bookmarkEnd w:id="54"/>
      <w:bookmarkEnd w:id="55"/>
      <w:r>
        <w:rPr>
          <w:rFonts w:ascii="Times New Roman" w:hAnsi="Times New Roman" w:eastAsia="仿宋_GB2312" w:cs="Times New Roman"/>
          <w:color w:val="000000" w:themeColor="text1"/>
          <w:kern w:val="0"/>
          <w:szCs w:val="32"/>
          <w14:textFill>
            <w14:solidFill>
              <w14:schemeClr w14:val="tx1"/>
            </w14:solidFill>
          </w14:textFill>
        </w:rPr>
        <w:t>推进沿高邮湖、宝应湖生态系统修复与建设，大幅增加沿湖沿河生态空间。充分发挥湖泊绿地固碳作用，恢复和增加农业林业碳汇，加强农田林网建设，稳步推进城市绿道建设，加快推进城市公园体系建设，全面提升公园品质。依托绿地建设与恢复，加快打造里下河地区重要的碳汇基地，积极参与全省碳交易市场体系建设，探索打造全省重要的绿色碳汇产业基地</w:t>
      </w:r>
      <w:r>
        <w:rPr>
          <w:rFonts w:hint="eastAsia" w:ascii="Times New Roman" w:hAnsi="Times New Roman" w:eastAsia="仿宋_GB2312" w:cs="Times New Roman"/>
          <w:color w:val="000000" w:themeColor="text1"/>
          <w:kern w:val="0"/>
          <w:szCs w:val="32"/>
          <w14:textFill>
            <w14:solidFill>
              <w14:schemeClr w14:val="tx1"/>
            </w14:solidFill>
          </w14:textFill>
        </w:rPr>
        <w:t>，探索湿地碳汇等价值实现机制。</w:t>
      </w:r>
      <w:r>
        <w:rPr>
          <w:rStyle w:val="57"/>
          <w:rFonts w:ascii="Times New Roman" w:hAnsi="Times New Roman"/>
          <w:kern w:val="0"/>
        </w:rPr>
        <w:t>（</w:t>
      </w:r>
      <w:r>
        <w:rPr>
          <w:rStyle w:val="57"/>
          <w:rFonts w:hint="eastAsia" w:ascii="Times New Roman" w:hAnsi="Times New Roman"/>
          <w:kern w:val="0"/>
        </w:rPr>
        <w:t>金湖生态环境局、县自然资源局牵头，县发改委、</w:t>
      </w:r>
      <w:r>
        <w:rPr>
          <w:rStyle w:val="57"/>
          <w:rFonts w:ascii="Times New Roman" w:hAnsi="Times New Roman"/>
          <w:kern w:val="0"/>
        </w:rPr>
        <w:t>县住建局、县水务局、县农业农村局</w:t>
      </w:r>
      <w:r>
        <w:rPr>
          <w:rStyle w:val="57"/>
          <w:rFonts w:hint="eastAsia" w:ascii="Times New Roman" w:hAnsi="Times New Roman"/>
          <w:kern w:val="0"/>
        </w:rPr>
        <w:t>按职责分工负责</w:t>
      </w:r>
      <w:r>
        <w:rPr>
          <w:rStyle w:val="57"/>
          <w:rFonts w:ascii="Times New Roman" w:hAnsi="Times New Roman"/>
          <w:kern w:val="0"/>
        </w:rPr>
        <w:t>）</w:t>
      </w:r>
    </w:p>
    <w:p w14:paraId="181E11EF">
      <w:pPr>
        <w:pStyle w:val="52"/>
        <w:overflowPunct w:val="0"/>
        <w:autoSpaceDE w:val="0"/>
        <w:autoSpaceDN w:val="0"/>
        <w:spacing w:line="560" w:lineRule="exact"/>
        <w:ind w:firstLine="640"/>
        <w:outlineLvl w:val="1"/>
        <w:rPr>
          <w:rFonts w:ascii="Times New Roman"/>
          <w:b w:val="0"/>
          <w:kern w:val="0"/>
        </w:rPr>
      </w:pPr>
      <w:bookmarkStart w:id="56" w:name="_Toc112686312"/>
      <w:r>
        <w:rPr>
          <w:rFonts w:ascii="Times New Roman"/>
          <w:b w:val="0"/>
          <w:kern w:val="0"/>
        </w:rPr>
        <w:t>（九）示范工程引领行动</w:t>
      </w:r>
      <w:bookmarkEnd w:id="56"/>
    </w:p>
    <w:p w14:paraId="6320B12C">
      <w:pPr>
        <w:overflowPunct w:val="0"/>
        <w:autoSpaceDE w:val="0"/>
        <w:autoSpaceDN w:val="0"/>
        <w:adjustRightInd w:val="0"/>
        <w:snapToGrid w:val="0"/>
        <w:spacing w:line="560" w:lineRule="exact"/>
        <w:ind w:firstLine="643" w:firstLineChars="200"/>
        <w:outlineLvl w:val="2"/>
        <w:rPr>
          <w:rFonts w:ascii="Times New Roman" w:hAnsi="Times New Roman" w:eastAsia="方正仿宋_GBK" w:cs="Times New Roman"/>
          <w:kern w:val="0"/>
          <w:szCs w:val="32"/>
        </w:rPr>
      </w:pPr>
      <w:bookmarkStart w:id="57" w:name="_Toc109398390"/>
      <w:bookmarkStart w:id="58" w:name="_Toc112686313"/>
      <w:r>
        <w:rPr>
          <w:rStyle w:val="51"/>
          <w:b/>
          <w:kern w:val="0"/>
        </w:rPr>
        <w:t>1．</w:t>
      </w:r>
      <w:r>
        <w:rPr>
          <w:rStyle w:val="51"/>
          <w:rFonts w:hint="eastAsia"/>
          <w:b/>
          <w:kern w:val="0"/>
        </w:rPr>
        <w:t>深化建立健全</w:t>
      </w:r>
      <w:r>
        <w:rPr>
          <w:rStyle w:val="51"/>
          <w:b/>
          <w:kern w:val="0"/>
        </w:rPr>
        <w:t>生态产品价值实现机制省级试点</w:t>
      </w:r>
      <w:r>
        <w:rPr>
          <w:rStyle w:val="51"/>
          <w:rFonts w:hint="eastAsia"/>
          <w:b/>
          <w:kern w:val="0"/>
        </w:rPr>
        <w:t>建设</w:t>
      </w:r>
      <w:r>
        <w:rPr>
          <w:rStyle w:val="51"/>
          <w:b/>
          <w:kern w:val="0"/>
        </w:rPr>
        <w:t>。</w:t>
      </w:r>
      <w:bookmarkEnd w:id="57"/>
      <w:bookmarkEnd w:id="58"/>
      <w:r>
        <w:rPr>
          <w:rFonts w:hint="eastAsia" w:ascii="Times New Roman" w:hAnsi="Times New Roman" w:eastAsia="仿宋_GB2312" w:cs="Times New Roman"/>
          <w:color w:val="000000" w:themeColor="text1"/>
          <w:kern w:val="0"/>
          <w:szCs w:val="32"/>
          <w14:textFill>
            <w14:solidFill>
              <w14:schemeClr w14:val="tx1"/>
            </w14:solidFill>
          </w14:textFill>
        </w:rPr>
        <w:t>落实</w:t>
      </w:r>
      <w:r>
        <w:rPr>
          <w:rFonts w:ascii="Times New Roman" w:hAnsi="Times New Roman" w:eastAsia="仿宋_GB2312" w:cs="Times New Roman"/>
          <w:color w:val="000000" w:themeColor="text1"/>
          <w:kern w:val="0"/>
          <w:szCs w:val="32"/>
          <w14:textFill>
            <w14:solidFill>
              <w14:schemeClr w14:val="tx1"/>
            </w14:solidFill>
          </w14:textFill>
        </w:rPr>
        <w:t>建立健全生态产品价值实现机制系列工作部署，坚持围绕江淮生态经济发展试点方向，</w:t>
      </w:r>
      <w:r>
        <w:rPr>
          <w:rFonts w:hint="eastAsia" w:ascii="Times New Roman" w:hAnsi="Times New Roman" w:eastAsia="仿宋_GB2312" w:cs="Times New Roman"/>
          <w:color w:val="000000" w:themeColor="text1"/>
          <w:kern w:val="0"/>
          <w:szCs w:val="32"/>
          <w14:textFill>
            <w14:solidFill>
              <w14:schemeClr w14:val="tx1"/>
            </w14:solidFill>
          </w14:textFill>
        </w:rPr>
        <w:t>健全完善生态产品调查监测、核算评价、经营开发、补偿赔偿、保障、推进六大机制，进一步形成生态环境保护者受益、使用者付费、破坏者赔偿的利益导向机制。依托县域湿地生态资源，探索“生态修复—价值提升—产业融合”一体化路径。强化GEP核算结果在产业准入、生态补偿等政策制定中的应用，推动核算成果向项目策划、向金融授信转化，鼓励金融机构开发绿色信贷、生态债券、生态保险等金融产品。协同衔接推进试点成果转化与试点工作方案系列任务，带动相关成果转化运用。在现行各类政策情况下，探索生态产品价值转换各类路径通道，形成更多的可推广、可复制的典型经验。</w:t>
      </w:r>
      <w:r>
        <w:rPr>
          <w:rStyle w:val="57"/>
          <w:rFonts w:ascii="Times New Roman" w:hAnsi="Times New Roman"/>
          <w:kern w:val="0"/>
        </w:rPr>
        <w:t>（县发改委</w:t>
      </w:r>
      <w:r>
        <w:rPr>
          <w:rStyle w:val="57"/>
          <w:rFonts w:hint="eastAsia" w:ascii="Times New Roman" w:hAnsi="Times New Roman"/>
          <w:kern w:val="0"/>
        </w:rPr>
        <w:t>、</w:t>
      </w:r>
      <w:r>
        <w:rPr>
          <w:rStyle w:val="57"/>
          <w:rFonts w:ascii="Times New Roman" w:hAnsi="Times New Roman"/>
          <w:kern w:val="0"/>
        </w:rPr>
        <w:t>金湖生态环境局、县自然资源局、县统计局、县农业农村局、县水务局、县文广旅游局、金湖金融监管支局、县金融管理服务中心</w:t>
      </w:r>
      <w:r>
        <w:rPr>
          <w:rStyle w:val="57"/>
          <w:rFonts w:hint="eastAsia" w:ascii="Times New Roman" w:hAnsi="Times New Roman"/>
          <w:kern w:val="0"/>
        </w:rPr>
        <w:t>按职责分工负责</w:t>
      </w:r>
      <w:r>
        <w:rPr>
          <w:rStyle w:val="57"/>
          <w:rFonts w:ascii="Times New Roman" w:hAnsi="Times New Roman"/>
          <w:kern w:val="0"/>
        </w:rPr>
        <w:t>）</w:t>
      </w:r>
    </w:p>
    <w:p w14:paraId="5E08A95B">
      <w:pPr>
        <w:tabs>
          <w:tab w:val="left" w:pos="6379"/>
        </w:tabs>
        <w:overflowPunct w:val="0"/>
        <w:autoSpaceDE w:val="0"/>
        <w:autoSpaceDN w:val="0"/>
        <w:adjustRightInd w:val="0"/>
        <w:snapToGrid w:val="0"/>
        <w:spacing w:line="560" w:lineRule="exact"/>
        <w:ind w:firstLine="643" w:firstLineChars="200"/>
        <w:outlineLvl w:val="2"/>
        <w:rPr>
          <w:rFonts w:ascii="Times New Roman" w:hAnsi="Times New Roman" w:eastAsia="方正仿宋_GBK" w:cs="Times New Roman"/>
          <w:kern w:val="0"/>
          <w:szCs w:val="32"/>
        </w:rPr>
      </w:pPr>
      <w:bookmarkStart w:id="59" w:name="_Toc112686314"/>
      <w:bookmarkStart w:id="60" w:name="_Toc109398391"/>
      <w:r>
        <w:rPr>
          <w:rStyle w:val="51"/>
          <w:b/>
          <w:kern w:val="0"/>
        </w:rPr>
        <w:t>2．</w:t>
      </w:r>
      <w:r>
        <w:rPr>
          <w:rStyle w:val="51"/>
          <w:rFonts w:hint="eastAsia"/>
          <w:b/>
          <w:kern w:val="0"/>
        </w:rPr>
        <w:t>推进新型电力系统示范试点建设</w:t>
      </w:r>
      <w:r>
        <w:rPr>
          <w:rStyle w:val="51"/>
          <w:b/>
          <w:kern w:val="0"/>
        </w:rPr>
        <w:t>。</w:t>
      </w:r>
      <w:bookmarkEnd w:id="59"/>
      <w:bookmarkEnd w:id="60"/>
      <w:r>
        <w:rPr>
          <w:rFonts w:ascii="Times New Roman" w:hAnsi="Times New Roman" w:eastAsia="仿宋_GB2312" w:cs="Times New Roman"/>
          <w:color w:val="000000" w:themeColor="text1"/>
          <w:kern w:val="0"/>
          <w:szCs w:val="32"/>
          <w14:textFill>
            <w14:solidFill>
              <w14:schemeClr w14:val="tx1"/>
            </w14:solidFill>
          </w14:textFill>
        </w:rPr>
        <w:t>围绕绿电进社区、进企业、进园区</w:t>
      </w:r>
      <w:r>
        <w:rPr>
          <w:rFonts w:hint="eastAsia" w:ascii="Times New Roman" w:hAnsi="Times New Roman" w:eastAsia="仿宋_GB2312" w:cs="Times New Roman"/>
          <w:color w:val="000000" w:themeColor="text1"/>
          <w:kern w:val="0"/>
          <w:szCs w:val="32"/>
          <w14:textFill>
            <w14:solidFill>
              <w14:schemeClr w14:val="tx1"/>
            </w14:solidFill>
          </w14:textFill>
        </w:rPr>
        <w:t>“</w:t>
      </w:r>
      <w:r>
        <w:rPr>
          <w:rFonts w:ascii="Times New Roman" w:hAnsi="Times New Roman" w:eastAsia="仿宋_GB2312" w:cs="Times New Roman"/>
          <w:color w:val="000000" w:themeColor="text1"/>
          <w:kern w:val="0"/>
          <w:szCs w:val="32"/>
          <w14:textFill>
            <w14:solidFill>
              <w14:schemeClr w14:val="tx1"/>
            </w14:solidFill>
          </w14:textFill>
        </w:rPr>
        <w:t>三进</w:t>
      </w:r>
      <w:r>
        <w:rPr>
          <w:rFonts w:hint="eastAsia" w:ascii="Times New Roman" w:hAnsi="Times New Roman" w:eastAsia="仿宋_GB2312" w:cs="Times New Roman"/>
          <w:color w:val="000000" w:themeColor="text1"/>
          <w:kern w:val="0"/>
          <w:szCs w:val="32"/>
          <w14:textFill>
            <w14:solidFill>
              <w14:schemeClr w14:val="tx1"/>
            </w14:solidFill>
          </w14:textFill>
        </w:rPr>
        <w:t>”</w:t>
      </w:r>
      <w:r>
        <w:rPr>
          <w:rFonts w:ascii="Times New Roman" w:hAnsi="Times New Roman" w:eastAsia="仿宋_GB2312" w:cs="Times New Roman"/>
          <w:color w:val="000000" w:themeColor="text1"/>
          <w:kern w:val="0"/>
          <w:szCs w:val="32"/>
          <w14:textFill>
            <w14:solidFill>
              <w14:schemeClr w14:val="tx1"/>
            </w14:solidFill>
          </w14:textFill>
        </w:rPr>
        <w:t>工程，</w:t>
      </w:r>
      <w:r>
        <w:rPr>
          <w:rFonts w:hint="eastAsia" w:ascii="Times New Roman" w:hAnsi="Times New Roman" w:eastAsia="仿宋_GB2312" w:cs="Times New Roman"/>
          <w:color w:val="000000" w:themeColor="text1"/>
          <w:kern w:val="0"/>
          <w:szCs w:val="32"/>
          <w14:textFill>
            <w14:solidFill>
              <w14:schemeClr w14:val="tx1"/>
            </w14:solidFill>
          </w14:textFill>
        </w:rPr>
        <w:t>打造能源自给自足县域有源配电网，促进新能源就地、就近消纳，提高园区绿电消费比例。着力解决县域新能源无序“大进大出”问题，坚持主配微协同发展，提高配电网韧性水平、柔性调节能力，实现规模化智能有序充电，电动汽车、楼宇空调、用户侧储能等分散灵活资源聚合参与电网互动。推动区域电源支撑能力改造，开展光伏、风电、储能项目调度紧急控制装置改造，提升区域电源稳暂态应急支撑能力。提升建设分布式电源可调可控能力，基于融合终端实现分布式光伏柔性管控，实施分布式光伏有功无功群控群调。提升电网功率协调控制能力，合理部署稳控主站和控制子站，实现金湖县域电网稳态平衡运行、暂态孤网自治、“联网—自治”模式无缝切换。建设现代智慧配电网，开展配电网设备自动化改造，实现故障快速响应；推进台区数据融合共享，实现低压用户停复电分钟级感知；推广应用智能运维装备，提升配网智慧运检管理能力。</w:t>
      </w:r>
      <w:r>
        <w:rPr>
          <w:rStyle w:val="57"/>
          <w:rFonts w:ascii="Times New Roman" w:hAnsi="Times New Roman"/>
          <w:kern w:val="0"/>
        </w:rPr>
        <w:t>（县</w:t>
      </w:r>
      <w:r>
        <w:rPr>
          <w:rStyle w:val="57"/>
          <w:rFonts w:hint="eastAsia" w:ascii="Times New Roman" w:hAnsi="Times New Roman"/>
          <w:kern w:val="0"/>
        </w:rPr>
        <w:t>供电公司牵头，县发改委、</w:t>
      </w:r>
      <w:r>
        <w:rPr>
          <w:rStyle w:val="57"/>
          <w:rFonts w:ascii="Times New Roman" w:hAnsi="Times New Roman"/>
          <w:kern w:val="0"/>
        </w:rPr>
        <w:t>县工信局、县自然资源局、县住建局、县数据局</w:t>
      </w:r>
      <w:r>
        <w:rPr>
          <w:rStyle w:val="57"/>
          <w:rFonts w:hint="eastAsia" w:ascii="Times New Roman" w:hAnsi="Times New Roman"/>
          <w:kern w:val="0"/>
        </w:rPr>
        <w:t>按职责分工负责</w:t>
      </w:r>
      <w:r>
        <w:rPr>
          <w:rStyle w:val="57"/>
          <w:rFonts w:ascii="Times New Roman" w:hAnsi="Times New Roman"/>
          <w:kern w:val="0"/>
        </w:rPr>
        <w:t>）</w:t>
      </w:r>
    </w:p>
    <w:p w14:paraId="49807BB3">
      <w:pPr>
        <w:pStyle w:val="52"/>
        <w:overflowPunct w:val="0"/>
        <w:autoSpaceDE w:val="0"/>
        <w:autoSpaceDN w:val="0"/>
        <w:spacing w:line="560" w:lineRule="exact"/>
        <w:ind w:firstLine="640"/>
        <w:outlineLvl w:val="1"/>
        <w:rPr>
          <w:rFonts w:ascii="Times New Roman"/>
          <w:b w:val="0"/>
          <w:kern w:val="0"/>
        </w:rPr>
      </w:pPr>
      <w:bookmarkStart w:id="61" w:name="_Toc112686315"/>
      <w:r>
        <w:rPr>
          <w:rFonts w:ascii="Times New Roman"/>
          <w:b w:val="0"/>
          <w:kern w:val="0"/>
        </w:rPr>
        <w:t>（十）低碳全民</w:t>
      </w:r>
      <w:r>
        <w:rPr>
          <w:rFonts w:hint="eastAsia" w:ascii="Times New Roman"/>
          <w:b w:val="0"/>
          <w:kern w:val="0"/>
        </w:rPr>
        <w:t>创建</w:t>
      </w:r>
      <w:r>
        <w:rPr>
          <w:rFonts w:ascii="Times New Roman"/>
          <w:b w:val="0"/>
          <w:kern w:val="0"/>
        </w:rPr>
        <w:t>行动</w:t>
      </w:r>
      <w:bookmarkEnd w:id="61"/>
    </w:p>
    <w:p w14:paraId="6D48F335">
      <w:pPr>
        <w:overflowPunct w:val="0"/>
        <w:autoSpaceDE w:val="0"/>
        <w:autoSpaceDN w:val="0"/>
        <w:snapToGrid w:val="0"/>
        <w:spacing w:line="560" w:lineRule="exact"/>
        <w:ind w:firstLine="643" w:firstLineChars="200"/>
        <w:outlineLvl w:val="2"/>
        <w:rPr>
          <w:rFonts w:ascii="Times New Roman" w:hAnsi="Times New Roman" w:eastAsia="方正仿宋_GBK" w:cs="Times New Roman"/>
          <w:color w:val="000000"/>
          <w:kern w:val="0"/>
          <w:szCs w:val="48"/>
        </w:rPr>
      </w:pPr>
      <w:bookmarkStart w:id="62" w:name="_Toc109398393"/>
      <w:bookmarkStart w:id="63" w:name="_Toc112686316"/>
      <w:r>
        <w:rPr>
          <w:rStyle w:val="51"/>
          <w:b/>
          <w:kern w:val="0"/>
        </w:rPr>
        <w:t>1．加强全民低碳理念教育。</w:t>
      </w:r>
      <w:bookmarkEnd w:id="62"/>
      <w:bookmarkEnd w:id="63"/>
      <w:r>
        <w:rPr>
          <w:rFonts w:ascii="Times New Roman" w:hAnsi="Times New Roman" w:eastAsia="仿宋_GB2312" w:cs="Times New Roman"/>
          <w:color w:val="000000" w:themeColor="text1"/>
          <w:kern w:val="0"/>
          <w:szCs w:val="32"/>
          <w14:textFill>
            <w14:solidFill>
              <w14:schemeClr w14:val="tx1"/>
            </w14:solidFill>
          </w14:textFill>
        </w:rPr>
        <w:t>将生态文明教育纳入国民教育体系，开展多种形式的资源环境教育，普及碳达峰碳中和基础知识。加强对公众的生态文明科普教育，将绿色低碳理念有机融入文化文艺作品，制作文创产品和公益广告，持续开展世界地球日、世界环境日、全国节能宣传周、全国低碳日等主题宣传活动，增强社会公众绿色低碳意识，推动生态文明理念更加深入人心。将学习贯彻习近平生态文明思想作为干部教育培训的重要内容，党校要把碳达峰碳中和相关内容列入教学计划，分阶段、多层次对各级领导干部开展培训，普及科学知识，宣讲政策要点，强化法治意识，深化各级领导干部对碳达峰碳中和工作重要性、紧迫性、科学性、系统性的认识。</w:t>
      </w:r>
      <w:r>
        <w:rPr>
          <w:rStyle w:val="57"/>
          <w:rFonts w:ascii="Times New Roman" w:hAnsi="Times New Roman"/>
          <w:kern w:val="0"/>
        </w:rPr>
        <w:t>（县委组织部、县委宣传部、县发改委、县教体局、</w:t>
      </w:r>
      <w:r>
        <w:rPr>
          <w:rStyle w:val="57"/>
          <w:rFonts w:hint="eastAsia" w:ascii="Times New Roman" w:hAnsi="Times New Roman"/>
          <w:kern w:val="0"/>
        </w:rPr>
        <w:t>县科技局、县工信局、县自然资源局、县住建局、县交通局、县水务局、县农业农村局、县商务局、县文广旅游局、县市场监管局、</w:t>
      </w:r>
      <w:r>
        <w:rPr>
          <w:rStyle w:val="57"/>
          <w:rFonts w:ascii="Times New Roman" w:hAnsi="Times New Roman"/>
          <w:kern w:val="0"/>
        </w:rPr>
        <w:t>县机关事务服务中心、金湖生态环境局、县委党校</w:t>
      </w:r>
      <w:r>
        <w:rPr>
          <w:rStyle w:val="57"/>
          <w:rFonts w:hint="eastAsia" w:ascii="Times New Roman" w:hAnsi="Times New Roman"/>
          <w:kern w:val="0"/>
        </w:rPr>
        <w:t>按职责分工负责</w:t>
      </w:r>
      <w:r>
        <w:rPr>
          <w:rStyle w:val="57"/>
          <w:rFonts w:ascii="Times New Roman" w:hAnsi="Times New Roman"/>
          <w:kern w:val="0"/>
        </w:rPr>
        <w:t>）</w:t>
      </w:r>
    </w:p>
    <w:p w14:paraId="0A8F5161">
      <w:pPr>
        <w:overflowPunct w:val="0"/>
        <w:autoSpaceDE w:val="0"/>
        <w:autoSpaceDN w:val="0"/>
        <w:snapToGrid w:val="0"/>
        <w:spacing w:line="560" w:lineRule="exact"/>
        <w:ind w:firstLine="643" w:firstLineChars="200"/>
        <w:outlineLvl w:val="2"/>
        <w:rPr>
          <w:rFonts w:ascii="Times New Roman" w:hAnsi="Times New Roman" w:eastAsia="方正仿宋_GBK" w:cs="Times New Roman"/>
          <w:kern w:val="0"/>
          <w:szCs w:val="36"/>
        </w:rPr>
      </w:pPr>
      <w:bookmarkStart w:id="64" w:name="_Toc109398394"/>
      <w:bookmarkStart w:id="65" w:name="_Toc112686317"/>
      <w:r>
        <w:rPr>
          <w:rStyle w:val="51"/>
          <w:b/>
          <w:kern w:val="0"/>
        </w:rPr>
        <w:t>2．推动绿色消费方式变革。</w:t>
      </w:r>
      <w:bookmarkEnd w:id="64"/>
      <w:r>
        <w:rPr>
          <w:rFonts w:hint="eastAsia" w:ascii="Times New Roman" w:hAnsi="Times New Roman" w:eastAsia="仿宋_GB2312" w:cs="Times New Roman"/>
          <w:color w:val="000000" w:themeColor="text1"/>
          <w:kern w:val="0"/>
          <w:szCs w:val="32"/>
          <w14:textFill>
            <w14:solidFill>
              <w14:schemeClr w14:val="tx1"/>
            </w14:solidFill>
          </w14:textFill>
        </w:rPr>
        <w:t>鼓励公共机构推行能源托管服务。落实绿色产品认证与标识制度，严厉打击虚标绿色产品行为。整合政务数据，系统提高公共信息资源利用效率，降低使用能耗。</w:t>
      </w:r>
      <w:bookmarkEnd w:id="65"/>
      <w:r>
        <w:rPr>
          <w:rFonts w:hint="eastAsia" w:ascii="Times New Roman" w:hAnsi="Times New Roman" w:eastAsia="仿宋_GB2312" w:cs="Times New Roman"/>
          <w:color w:val="000000" w:themeColor="text1"/>
          <w:kern w:val="0"/>
          <w:szCs w:val="32"/>
          <w14:textFill>
            <w14:solidFill>
              <w14:schemeClr w14:val="tx1"/>
            </w14:solidFill>
          </w14:textFill>
        </w:rPr>
        <w:t>倡导推行</w:t>
      </w:r>
      <w:r>
        <w:rPr>
          <w:rFonts w:ascii="Times New Roman" w:hAnsi="Times New Roman" w:eastAsia="仿宋_GB2312" w:cs="Times New Roman"/>
          <w:color w:val="000000" w:themeColor="text1"/>
          <w:kern w:val="0"/>
          <w:szCs w:val="32"/>
          <w14:textFill>
            <w14:solidFill>
              <w14:schemeClr w14:val="tx1"/>
            </w14:solidFill>
          </w14:textFill>
        </w:rPr>
        <w:t>绿色消费方式，坚决遏制奢侈浪费和不合理消费，坚决制止餐饮浪费行为，推行</w:t>
      </w:r>
      <w:r>
        <w:rPr>
          <w:rFonts w:hint="eastAsia" w:ascii="Times New Roman" w:hAnsi="Times New Roman" w:eastAsia="仿宋_GB2312" w:cs="Times New Roman"/>
          <w:color w:val="000000" w:themeColor="text1"/>
          <w:kern w:val="0"/>
          <w:szCs w:val="32"/>
          <w14:textFill>
            <w14:solidFill>
              <w14:schemeClr w14:val="tx1"/>
            </w14:solidFill>
          </w14:textFill>
        </w:rPr>
        <w:t>“</w:t>
      </w:r>
      <w:r>
        <w:rPr>
          <w:rFonts w:ascii="Times New Roman" w:hAnsi="Times New Roman" w:eastAsia="仿宋_GB2312" w:cs="Times New Roman"/>
          <w:color w:val="000000" w:themeColor="text1"/>
          <w:kern w:val="0"/>
          <w:szCs w:val="32"/>
          <w14:textFill>
            <w14:solidFill>
              <w14:schemeClr w14:val="tx1"/>
            </w14:solidFill>
          </w14:textFill>
        </w:rPr>
        <w:t>光盘行动</w:t>
      </w:r>
      <w:r>
        <w:rPr>
          <w:rFonts w:hint="eastAsia" w:ascii="Times New Roman" w:hAnsi="Times New Roman" w:eastAsia="仿宋_GB2312" w:cs="Times New Roman"/>
          <w:color w:val="000000" w:themeColor="text1"/>
          <w:kern w:val="0"/>
          <w:szCs w:val="32"/>
          <w14:textFill>
            <w14:solidFill>
              <w14:schemeClr w14:val="tx1"/>
            </w14:solidFill>
          </w14:textFill>
        </w:rPr>
        <w:t>”</w:t>
      </w:r>
      <w:r>
        <w:rPr>
          <w:rFonts w:ascii="Times New Roman" w:hAnsi="Times New Roman" w:eastAsia="仿宋_GB2312" w:cs="Times New Roman"/>
          <w:color w:val="000000" w:themeColor="text1"/>
          <w:kern w:val="0"/>
          <w:szCs w:val="32"/>
          <w14:textFill>
            <w14:solidFill>
              <w14:schemeClr w14:val="tx1"/>
            </w14:solidFill>
          </w14:textFill>
        </w:rPr>
        <w:t>。在全社会倡导节约用能，推广绿色低碳产品，引导居民采购绿色产品，鼓励采取补贴、积分奖励等方式促进绿色消费。提倡绿色居住和绿色办公，鼓励使用节电型电器和照明产品，合理控制夏季空调和冬季取暖室内温度。强化示范引领，加大政府绿色采购力度，扩大绿色产品采购范围，逐步将绿色采购制度扩展至国有企业。</w:t>
      </w:r>
      <w:r>
        <w:rPr>
          <w:rStyle w:val="57"/>
          <w:rFonts w:ascii="Times New Roman" w:hAnsi="Times New Roman"/>
          <w:kern w:val="0"/>
        </w:rPr>
        <w:t>（县财政局、县商务局、县市场监管局、县机关事务服务中心</w:t>
      </w:r>
      <w:r>
        <w:rPr>
          <w:rStyle w:val="57"/>
          <w:rFonts w:hint="eastAsia" w:ascii="Times New Roman" w:hAnsi="Times New Roman"/>
          <w:kern w:val="0"/>
        </w:rPr>
        <w:t>按职责分工负责</w:t>
      </w:r>
      <w:r>
        <w:rPr>
          <w:rStyle w:val="57"/>
          <w:rFonts w:ascii="Times New Roman" w:hAnsi="Times New Roman"/>
          <w:kern w:val="0"/>
        </w:rPr>
        <w:t>）</w:t>
      </w:r>
    </w:p>
    <w:p w14:paraId="5ED5F3C4">
      <w:pPr>
        <w:overflowPunct w:val="0"/>
        <w:autoSpaceDE w:val="0"/>
        <w:autoSpaceDN w:val="0"/>
        <w:snapToGrid w:val="0"/>
        <w:spacing w:line="560" w:lineRule="exact"/>
        <w:ind w:firstLine="643" w:firstLineChars="200"/>
        <w:outlineLvl w:val="2"/>
        <w:rPr>
          <w:rFonts w:ascii="Times New Roman" w:hAnsi="Times New Roman" w:cs="Times New Roman"/>
          <w:kern w:val="0"/>
        </w:rPr>
      </w:pPr>
      <w:bookmarkStart w:id="66" w:name="_Toc109398395"/>
      <w:bookmarkStart w:id="67" w:name="_Toc112686318"/>
      <w:r>
        <w:rPr>
          <w:rStyle w:val="51"/>
          <w:b/>
          <w:kern w:val="0"/>
        </w:rPr>
        <w:t>3．引导企业履行社会责任。</w:t>
      </w:r>
      <w:bookmarkEnd w:id="66"/>
      <w:bookmarkEnd w:id="67"/>
      <w:r>
        <w:rPr>
          <w:rFonts w:ascii="Times New Roman" w:hAnsi="Times New Roman" w:eastAsia="仿宋_GB2312" w:cs="Times New Roman"/>
          <w:color w:val="000000" w:themeColor="text1"/>
          <w:kern w:val="0"/>
          <w:szCs w:val="32"/>
          <w14:textFill>
            <w14:solidFill>
              <w14:schemeClr w14:val="tx1"/>
            </w14:solidFill>
          </w14:textFill>
        </w:rPr>
        <w:t>引导企业主动适应绿色低碳发展要求，强化环境责任意识，加强能源资源节约，积极采购绿色产品，提升绿色创新</w:t>
      </w:r>
      <w:r>
        <w:rPr>
          <w:rFonts w:hint="eastAsia" w:ascii="Times New Roman" w:hAnsi="Times New Roman" w:eastAsia="仿宋_GB2312" w:cs="Times New Roman"/>
          <w:color w:val="000000" w:themeColor="text1"/>
          <w:kern w:val="0"/>
          <w:szCs w:val="32"/>
          <w14:textFill>
            <w14:solidFill>
              <w14:schemeClr w14:val="tx1"/>
            </w14:solidFill>
          </w14:textFill>
        </w:rPr>
        <w:t>、绿色管理</w:t>
      </w:r>
      <w:r>
        <w:rPr>
          <w:rFonts w:ascii="Times New Roman" w:hAnsi="Times New Roman" w:eastAsia="仿宋_GB2312" w:cs="Times New Roman"/>
          <w:color w:val="000000" w:themeColor="text1"/>
          <w:kern w:val="0"/>
          <w:szCs w:val="32"/>
          <w14:textFill>
            <w14:solidFill>
              <w14:schemeClr w14:val="tx1"/>
            </w14:solidFill>
          </w14:textFill>
        </w:rPr>
        <w:t>水平。</w:t>
      </w:r>
      <w:r>
        <w:rPr>
          <w:rFonts w:hint="eastAsia" w:ascii="Times New Roman" w:hAnsi="Times New Roman" w:eastAsia="仿宋_GB2312" w:cs="Times New Roman"/>
          <w:color w:val="000000" w:themeColor="text1"/>
          <w:kern w:val="0"/>
          <w:szCs w:val="32"/>
          <w14:textFill>
            <w14:solidFill>
              <w14:schemeClr w14:val="tx1"/>
            </w14:solidFill>
          </w14:textFill>
        </w:rPr>
        <w:t>鼓励</w:t>
      </w:r>
      <w:r>
        <w:rPr>
          <w:rFonts w:ascii="Times New Roman" w:hAnsi="Times New Roman" w:eastAsia="仿宋_GB2312" w:cs="Times New Roman"/>
          <w:color w:val="000000" w:themeColor="text1"/>
          <w:kern w:val="0"/>
          <w:szCs w:val="32"/>
          <w14:textFill>
            <w14:solidFill>
              <w14:schemeClr w14:val="tx1"/>
            </w14:solidFill>
          </w14:textFill>
        </w:rPr>
        <w:t>企业制定实施企业碳达峰</w:t>
      </w:r>
      <w:r>
        <w:rPr>
          <w:rFonts w:hint="eastAsia" w:ascii="Times New Roman" w:hAnsi="Times New Roman" w:eastAsia="仿宋_GB2312" w:cs="Times New Roman"/>
          <w:color w:val="000000" w:themeColor="text1"/>
          <w:kern w:val="0"/>
          <w:szCs w:val="32"/>
          <w14:textFill>
            <w14:solidFill>
              <w14:schemeClr w14:val="tx1"/>
            </w14:solidFill>
          </w14:textFill>
        </w:rPr>
        <w:t>工作</w:t>
      </w:r>
      <w:r>
        <w:rPr>
          <w:rFonts w:ascii="Times New Roman" w:hAnsi="Times New Roman" w:eastAsia="仿宋_GB2312" w:cs="Times New Roman"/>
          <w:color w:val="000000" w:themeColor="text1"/>
          <w:kern w:val="0"/>
          <w:szCs w:val="32"/>
          <w14:textFill>
            <w14:solidFill>
              <w14:schemeClr w14:val="tx1"/>
            </w14:solidFill>
          </w14:textFill>
        </w:rPr>
        <w:t>方案，发挥示范引领作用</w:t>
      </w:r>
      <w:r>
        <w:rPr>
          <w:rFonts w:hint="eastAsia" w:ascii="Times New Roman" w:hAnsi="Times New Roman" w:eastAsia="仿宋_GB2312" w:cs="Times New Roman"/>
          <w:color w:val="000000" w:themeColor="text1"/>
          <w:kern w:val="0"/>
          <w:szCs w:val="32"/>
          <w14:textFill>
            <w14:solidFill>
              <w14:schemeClr w14:val="tx1"/>
            </w14:solidFill>
          </w14:textFill>
        </w:rPr>
        <w:t>，探索总结企业“近零排放”路径</w:t>
      </w:r>
      <w:r>
        <w:rPr>
          <w:rFonts w:ascii="Times New Roman" w:hAnsi="Times New Roman" w:eastAsia="仿宋_GB2312" w:cs="Times New Roman"/>
          <w:color w:val="000000" w:themeColor="text1"/>
          <w:kern w:val="0"/>
          <w:szCs w:val="32"/>
          <w14:textFill>
            <w14:solidFill>
              <w14:schemeClr w14:val="tx1"/>
            </w14:solidFill>
          </w14:textFill>
        </w:rPr>
        <w:t>。</w:t>
      </w:r>
      <w:r>
        <w:rPr>
          <w:rFonts w:hint="eastAsia" w:ascii="Times New Roman" w:hAnsi="Times New Roman" w:eastAsia="仿宋_GB2312" w:cs="Times New Roman"/>
          <w:color w:val="000000" w:themeColor="text1"/>
          <w:kern w:val="0"/>
          <w:szCs w:val="32"/>
          <w14:textFill>
            <w14:solidFill>
              <w14:schemeClr w14:val="tx1"/>
            </w14:solidFill>
          </w14:textFill>
        </w:rPr>
        <w:t>重点企事业单位要开展碳排放数据的监测、报送和核查工作，健全企业、金融机构等碳排放报告和信息披露制度。充分发挥行业协会等社会团体作用，督促企业自觉履行社会责任，上市公司和发债企业要依法披露、定期公布企业碳排放信息。组织开展“近零碳工厂建设”“工业节能诊断”等活动，加强向重点用能单位宣贯节能法律法规和相关政策标准。</w:t>
      </w:r>
      <w:r>
        <w:rPr>
          <w:rStyle w:val="57"/>
          <w:rFonts w:ascii="Times New Roman" w:hAnsi="Times New Roman"/>
          <w:kern w:val="0"/>
        </w:rPr>
        <w:t>（县发改委、县工信局、金湖生态环境局</w:t>
      </w:r>
      <w:r>
        <w:rPr>
          <w:rStyle w:val="57"/>
          <w:rFonts w:hint="eastAsia" w:ascii="Times New Roman" w:hAnsi="Times New Roman"/>
          <w:kern w:val="0"/>
        </w:rPr>
        <w:t>按职责分工负责</w:t>
      </w:r>
      <w:r>
        <w:rPr>
          <w:rStyle w:val="57"/>
          <w:rFonts w:ascii="Times New Roman" w:hAnsi="Times New Roman"/>
          <w:kern w:val="0"/>
        </w:rPr>
        <w:t>）</w:t>
      </w:r>
    </w:p>
    <w:p w14:paraId="33CBEE6E">
      <w:pPr>
        <w:pStyle w:val="55"/>
        <w:rPr>
          <w:kern w:val="0"/>
        </w:rPr>
      </w:pPr>
      <w:bookmarkStart w:id="68" w:name="_Toc112686319"/>
      <w:r>
        <w:rPr>
          <w:rFonts w:hint="eastAsia"/>
          <w:kern w:val="0"/>
        </w:rPr>
        <w:t>四</w:t>
      </w:r>
      <w:r>
        <w:rPr>
          <w:kern w:val="0"/>
        </w:rPr>
        <w:t>、保障措施</w:t>
      </w:r>
      <w:bookmarkEnd w:id="68"/>
    </w:p>
    <w:p w14:paraId="5983EC40">
      <w:pPr>
        <w:pStyle w:val="52"/>
        <w:overflowPunct w:val="0"/>
        <w:autoSpaceDE w:val="0"/>
        <w:autoSpaceDN w:val="0"/>
        <w:spacing w:line="560" w:lineRule="exact"/>
        <w:ind w:firstLine="640"/>
        <w:outlineLvl w:val="1"/>
        <w:rPr>
          <w:rFonts w:ascii="Times New Roman"/>
          <w:b w:val="0"/>
          <w:kern w:val="0"/>
        </w:rPr>
      </w:pPr>
      <w:bookmarkStart w:id="69" w:name="_Toc112686320"/>
      <w:r>
        <w:rPr>
          <w:rFonts w:ascii="Times New Roman"/>
          <w:b w:val="0"/>
          <w:kern w:val="0"/>
        </w:rPr>
        <w:t>（一）加强组织领导</w:t>
      </w:r>
      <w:bookmarkEnd w:id="69"/>
    </w:p>
    <w:p w14:paraId="350B2C57">
      <w:pPr>
        <w:overflowPunct w:val="0"/>
        <w:autoSpaceDE w:val="0"/>
        <w:autoSpaceDN w:val="0"/>
        <w:spacing w:line="560" w:lineRule="exact"/>
        <w:ind w:firstLine="640" w:firstLineChars="200"/>
        <w:rPr>
          <w:rFonts w:ascii="Times New Roman" w:hAnsi="Times New Roman" w:eastAsia="方正仿宋_GBK" w:cs="Times New Roman"/>
          <w:kern w:val="0"/>
        </w:rPr>
      </w:pPr>
      <w:r>
        <w:rPr>
          <w:rFonts w:hint="eastAsia" w:ascii="Times New Roman" w:hAnsi="Times New Roman" w:eastAsia="仿宋_GB2312" w:cs="Times New Roman"/>
          <w:color w:val="000000" w:themeColor="text1"/>
          <w:kern w:val="0"/>
          <w:szCs w:val="32"/>
          <w14:textFill>
            <w14:solidFill>
              <w14:schemeClr w14:val="tx1"/>
            </w14:solidFill>
          </w14:textFill>
        </w:rPr>
        <w:t>将党的全面领导贯穿碳达峰碳中和工作各方面各环节，加强全县碳达峰工作集中统一领导。县各相关单位要按照县委、县政府决策部署工作要求，扎实推进相关工作。</w:t>
      </w:r>
      <w:r>
        <w:rPr>
          <w:rStyle w:val="57"/>
          <w:rFonts w:hint="eastAsia" w:ascii="Times New Roman" w:hAnsi="Times New Roman"/>
          <w:kern w:val="0"/>
        </w:rPr>
        <w:t>（县各相关单位按职责分工负责）</w:t>
      </w:r>
    </w:p>
    <w:p w14:paraId="303C58B5">
      <w:pPr>
        <w:pStyle w:val="52"/>
        <w:overflowPunct w:val="0"/>
        <w:autoSpaceDE w:val="0"/>
        <w:autoSpaceDN w:val="0"/>
        <w:spacing w:line="560" w:lineRule="exact"/>
        <w:ind w:firstLine="640"/>
        <w:outlineLvl w:val="1"/>
        <w:rPr>
          <w:rFonts w:ascii="Times New Roman"/>
          <w:b w:val="0"/>
          <w:kern w:val="0"/>
        </w:rPr>
      </w:pPr>
      <w:bookmarkStart w:id="70" w:name="_Toc112686321"/>
      <w:r>
        <w:rPr>
          <w:rFonts w:hint="eastAsia" w:ascii="Times New Roman"/>
          <w:b w:val="0"/>
          <w:kern w:val="0"/>
        </w:rPr>
        <w:t>（二）坚持规划引领</w:t>
      </w:r>
    </w:p>
    <w:p w14:paraId="198BDBF0">
      <w:pPr>
        <w:overflowPunct w:val="0"/>
        <w:autoSpaceDE w:val="0"/>
        <w:autoSpaceDN w:val="0"/>
        <w:spacing w:line="560" w:lineRule="exact"/>
        <w:ind w:firstLine="640" w:firstLineChars="200"/>
        <w:rPr>
          <w:rFonts w:ascii="Times New Roman" w:eastAsia="仿宋_GB2312"/>
          <w:b/>
          <w:color w:val="000000" w:themeColor="text1"/>
          <w:kern w:val="0"/>
          <w:szCs w:val="32"/>
          <w14:textFill>
            <w14:solidFill>
              <w14:schemeClr w14:val="tx1"/>
            </w14:solidFill>
          </w14:textFill>
        </w:rPr>
      </w:pPr>
      <w:r>
        <w:rPr>
          <w:rFonts w:hint="eastAsia" w:ascii="Times New Roman" w:hAnsi="Times New Roman" w:eastAsia="仿宋_GB2312" w:cs="Times New Roman"/>
          <w:color w:val="000000" w:themeColor="text1"/>
          <w:kern w:val="0"/>
          <w:szCs w:val="32"/>
          <w14:textFill>
            <w14:solidFill>
              <w14:schemeClr w14:val="tx1"/>
            </w14:solidFill>
          </w14:textFill>
        </w:rPr>
        <w:t>将碳达峰碳中和目标要求全面融入经济社会发展中长期规划，强化各类专项规划中关于低碳发展的支撑保障。加强各级各类规划间衔接协调，确保各领域落实推进碳达峰碳中和工作的主要目标、发展方向、相关政策、系列工程等协调一致。</w:t>
      </w:r>
      <w:r>
        <w:rPr>
          <w:rStyle w:val="57"/>
          <w:rFonts w:hint="eastAsia" w:ascii="Times New Roman" w:hAnsi="Times New Roman"/>
          <w:kern w:val="0"/>
        </w:rPr>
        <w:t>（县各相关单位按职责分工负责）</w:t>
      </w:r>
    </w:p>
    <w:p w14:paraId="08B0DE53">
      <w:pPr>
        <w:pStyle w:val="52"/>
        <w:overflowPunct w:val="0"/>
        <w:autoSpaceDE w:val="0"/>
        <w:autoSpaceDN w:val="0"/>
        <w:spacing w:line="560" w:lineRule="exact"/>
        <w:ind w:firstLine="640"/>
        <w:outlineLvl w:val="1"/>
        <w:rPr>
          <w:rFonts w:ascii="Times New Roman"/>
          <w:b w:val="0"/>
          <w:kern w:val="0"/>
        </w:rPr>
      </w:pPr>
      <w:r>
        <w:rPr>
          <w:rFonts w:ascii="Times New Roman"/>
          <w:b w:val="0"/>
          <w:kern w:val="0"/>
        </w:rPr>
        <w:t>（</w:t>
      </w:r>
      <w:r>
        <w:rPr>
          <w:rFonts w:hint="eastAsia" w:ascii="Times New Roman"/>
          <w:b w:val="0"/>
          <w:kern w:val="0"/>
        </w:rPr>
        <w:t>三</w:t>
      </w:r>
      <w:r>
        <w:rPr>
          <w:rFonts w:ascii="Times New Roman"/>
          <w:b w:val="0"/>
          <w:kern w:val="0"/>
        </w:rPr>
        <w:t>）</w:t>
      </w:r>
      <w:bookmarkEnd w:id="70"/>
      <w:r>
        <w:rPr>
          <w:rFonts w:hint="eastAsia" w:ascii="Times New Roman"/>
          <w:b w:val="0"/>
          <w:kern w:val="0"/>
        </w:rPr>
        <w:t>强化责任落实</w:t>
      </w:r>
    </w:p>
    <w:p w14:paraId="286D3EA8">
      <w:pPr>
        <w:overflowPunct w:val="0"/>
        <w:autoSpaceDE w:val="0"/>
        <w:autoSpaceDN w:val="0"/>
        <w:spacing w:line="560" w:lineRule="exact"/>
        <w:ind w:firstLine="640" w:firstLineChars="200"/>
        <w:rPr>
          <w:rStyle w:val="57"/>
          <w:rFonts w:ascii="Times New Roman" w:hAnsi="Times New Roman"/>
          <w:kern w:val="0"/>
        </w:rPr>
      </w:pPr>
      <w:r>
        <w:rPr>
          <w:rFonts w:hint="eastAsia" w:ascii="Times New Roman" w:hAnsi="Times New Roman" w:eastAsia="仿宋_GB2312" w:cs="Times New Roman"/>
          <w:color w:val="000000" w:themeColor="text1"/>
          <w:kern w:val="0"/>
          <w:szCs w:val="32"/>
          <w14:textFill>
            <w14:solidFill>
              <w14:schemeClr w14:val="tx1"/>
            </w14:solidFill>
          </w14:textFill>
        </w:rPr>
        <w:t>县各相关单位要按照本方案确定的主要目标和重点任务，确保落实到位。县各相关单位、人民团体、社会组织要积极发挥自身作用，推进绿色低碳发展。县各相关单位要对各重点领域、重点行业工作进展情况加强调度，要进一步强化政策解读和宣传引导工作，努力在全社会营造理解低碳生活、支持绿色发展、推动碳达峰碳中和的良好氛围。</w:t>
      </w:r>
      <w:r>
        <w:rPr>
          <w:rStyle w:val="57"/>
          <w:rFonts w:hint="eastAsia" w:ascii="Times New Roman" w:hAnsi="Times New Roman"/>
          <w:kern w:val="0"/>
        </w:rPr>
        <w:t>（县各相关单位按职责分工负责）</w:t>
      </w:r>
    </w:p>
    <w:p w14:paraId="7A61AB41">
      <w:pPr>
        <w:widowControl/>
        <w:jc w:val="left"/>
        <w:rPr>
          <w:rStyle w:val="57"/>
          <w:rFonts w:ascii="Times New Roman" w:hAnsi="Times New Roman"/>
          <w:kern w:val="0"/>
        </w:rPr>
      </w:pPr>
      <w:r>
        <w:rPr>
          <w:rStyle w:val="57"/>
          <w:rFonts w:ascii="Times New Roman" w:hAnsi="Times New Roman"/>
          <w:kern w:val="0"/>
        </w:rPr>
        <w:br w:type="page"/>
      </w:r>
    </w:p>
    <w:p w14:paraId="670E84F5">
      <w:pPr>
        <w:pStyle w:val="7"/>
        <w:overflowPunct w:val="0"/>
        <w:autoSpaceDE w:val="0"/>
        <w:autoSpaceDN w:val="0"/>
        <w:spacing w:before="435" w:after="435"/>
        <w:ind w:left="0" w:leftChars="0" w:firstLine="800"/>
        <w:rPr>
          <w:rFonts w:eastAsia="仿宋_GB2312"/>
          <w:szCs w:val="32"/>
        </w:rPr>
      </w:pPr>
    </w:p>
    <w:p w14:paraId="330F8B4A">
      <w:pPr>
        <w:pStyle w:val="7"/>
        <w:overflowPunct w:val="0"/>
        <w:autoSpaceDE w:val="0"/>
        <w:autoSpaceDN w:val="0"/>
        <w:spacing w:before="435" w:after="435"/>
        <w:ind w:left="0" w:leftChars="0"/>
        <w:rPr>
          <w:rFonts w:eastAsia="仿宋_GB2312"/>
          <w:szCs w:val="32"/>
        </w:rPr>
      </w:pPr>
    </w:p>
    <w:p w14:paraId="7C2E4A3A">
      <w:pPr>
        <w:pStyle w:val="7"/>
        <w:overflowPunct w:val="0"/>
        <w:autoSpaceDE w:val="0"/>
        <w:autoSpaceDN w:val="0"/>
        <w:spacing w:before="435" w:after="435"/>
        <w:ind w:left="0" w:leftChars="0"/>
        <w:rPr>
          <w:rFonts w:eastAsia="仿宋_GB2312"/>
          <w:szCs w:val="32"/>
        </w:rPr>
      </w:pPr>
    </w:p>
    <w:p w14:paraId="16E2936D">
      <w:pPr>
        <w:pStyle w:val="7"/>
        <w:overflowPunct w:val="0"/>
        <w:autoSpaceDE w:val="0"/>
        <w:autoSpaceDN w:val="0"/>
        <w:spacing w:before="435" w:after="435"/>
        <w:ind w:left="0" w:leftChars="0"/>
        <w:rPr>
          <w:rFonts w:eastAsia="仿宋_GB2312"/>
          <w:szCs w:val="32"/>
        </w:rPr>
      </w:pPr>
    </w:p>
    <w:p w14:paraId="0D3E75EC">
      <w:pPr>
        <w:pStyle w:val="7"/>
        <w:overflowPunct w:val="0"/>
        <w:autoSpaceDE w:val="0"/>
        <w:autoSpaceDN w:val="0"/>
        <w:spacing w:before="435" w:after="435"/>
        <w:ind w:left="0" w:leftChars="0"/>
        <w:rPr>
          <w:rFonts w:eastAsia="仿宋_GB2312"/>
          <w:szCs w:val="32"/>
        </w:rPr>
      </w:pPr>
    </w:p>
    <w:p w14:paraId="303E907D">
      <w:pPr>
        <w:pStyle w:val="7"/>
        <w:overflowPunct w:val="0"/>
        <w:autoSpaceDE w:val="0"/>
        <w:autoSpaceDN w:val="0"/>
        <w:spacing w:before="435" w:after="435"/>
        <w:ind w:left="0" w:leftChars="0"/>
        <w:rPr>
          <w:rFonts w:eastAsia="仿宋_GB2312"/>
          <w:szCs w:val="32"/>
        </w:rPr>
      </w:pPr>
    </w:p>
    <w:p w14:paraId="6B39D643">
      <w:pPr>
        <w:pStyle w:val="7"/>
        <w:overflowPunct w:val="0"/>
        <w:autoSpaceDE w:val="0"/>
        <w:autoSpaceDN w:val="0"/>
        <w:spacing w:before="435" w:after="435"/>
        <w:ind w:left="0" w:leftChars="0"/>
        <w:rPr>
          <w:rFonts w:eastAsia="仿宋_GB2312"/>
          <w:szCs w:val="32"/>
        </w:rPr>
      </w:pPr>
    </w:p>
    <w:p w14:paraId="54160924">
      <w:pPr>
        <w:pStyle w:val="7"/>
        <w:overflowPunct w:val="0"/>
        <w:autoSpaceDE w:val="0"/>
        <w:autoSpaceDN w:val="0"/>
        <w:spacing w:before="435" w:after="435"/>
        <w:ind w:left="0" w:leftChars="0"/>
        <w:rPr>
          <w:rFonts w:eastAsia="仿宋_GB2312"/>
          <w:szCs w:val="32"/>
        </w:rPr>
      </w:pPr>
    </w:p>
    <w:p w14:paraId="6C697FA5">
      <w:pPr>
        <w:pStyle w:val="7"/>
        <w:overflowPunct w:val="0"/>
        <w:autoSpaceDE w:val="0"/>
        <w:autoSpaceDN w:val="0"/>
        <w:spacing w:before="435" w:after="435"/>
        <w:ind w:left="0" w:leftChars="0"/>
        <w:rPr>
          <w:rFonts w:eastAsia="仿宋_GB2312"/>
          <w:szCs w:val="32"/>
        </w:rPr>
      </w:pPr>
    </w:p>
    <w:p w14:paraId="7778DD3D">
      <w:pPr>
        <w:overflowPunct w:val="0"/>
        <w:autoSpaceDE w:val="0"/>
        <w:autoSpaceDN w:val="0"/>
        <w:spacing w:after="120"/>
        <w:rPr>
          <w:rFonts w:ascii="Times New Roman" w:hAnsi="Times New Roman" w:eastAsia="仿宋_GB2312" w:cs="Times New Roman"/>
          <w:szCs w:val="32"/>
        </w:rPr>
      </w:pPr>
    </w:p>
    <w:p w14:paraId="2A2C77D3">
      <w:pPr>
        <w:overflowPunct w:val="0"/>
        <w:autoSpaceDE w:val="0"/>
        <w:autoSpaceDN w:val="0"/>
        <w:spacing w:after="120"/>
        <w:rPr>
          <w:rFonts w:ascii="Times New Roman" w:hAnsi="Times New Roman" w:eastAsia="仿宋_GB2312" w:cs="Times New Roman"/>
          <w:szCs w:val="32"/>
        </w:rPr>
      </w:pPr>
    </w:p>
    <w:p w14:paraId="06FDA602">
      <w:pPr>
        <w:overflowPunct w:val="0"/>
        <w:autoSpaceDE w:val="0"/>
        <w:autoSpaceDN w:val="0"/>
        <w:spacing w:after="120"/>
        <w:rPr>
          <w:rFonts w:ascii="Times New Roman" w:hAnsi="Times New Roman" w:eastAsia="仿宋_GB2312" w:cs="Times New Roman"/>
          <w:szCs w:val="32"/>
        </w:rPr>
      </w:pPr>
    </w:p>
    <w:p w14:paraId="4BD651B9">
      <w:pPr>
        <w:overflowPunct w:val="0"/>
        <w:autoSpaceDE w:val="0"/>
        <w:autoSpaceDN w:val="0"/>
        <w:spacing w:after="120"/>
        <w:rPr>
          <w:rFonts w:ascii="Times New Roman" w:hAnsi="Times New Roman" w:eastAsia="仿宋_GB2312" w:cs="Times New Roman"/>
          <w:szCs w:val="32"/>
        </w:rPr>
      </w:pPr>
    </w:p>
    <w:p w14:paraId="780A0C7B">
      <w:pPr>
        <w:overflowPunct w:val="0"/>
        <w:autoSpaceDE w:val="0"/>
        <w:autoSpaceDN w:val="0"/>
        <w:spacing w:after="120"/>
        <w:rPr>
          <w:rFonts w:ascii="Times New Roman" w:hAnsi="Times New Roman" w:eastAsia="仿宋_GB2312" w:cs="Times New Roman"/>
          <w:szCs w:val="32"/>
        </w:rPr>
      </w:pPr>
    </w:p>
    <w:p w14:paraId="3C79DDE5">
      <w:pPr>
        <w:overflowPunct w:val="0"/>
        <w:autoSpaceDE w:val="0"/>
        <w:autoSpaceDN w:val="0"/>
        <w:spacing w:after="120"/>
        <w:rPr>
          <w:rFonts w:ascii="Times New Roman" w:hAnsi="Times New Roman" w:eastAsia="仿宋_GB2312" w:cs="Times New Roman"/>
          <w:szCs w:val="32"/>
        </w:rPr>
      </w:pPr>
      <w:r>
        <w:rPr>
          <w:rFonts w:ascii="Times New Roman" w:hAnsi="Times New Roman" w:eastAsia="方正仿宋_GBK" w:cs="Times New Roman"/>
          <w:sz w:val="28"/>
          <w:szCs w:val="24"/>
        </w:rPr>
        <mc:AlternateContent>
          <mc:Choice Requires="wps">
            <w:drawing>
              <wp:anchor distT="0" distB="0" distL="114300" distR="114300" simplePos="0" relativeHeight="251661312" behindDoc="0" locked="0" layoutInCell="1" allowOverlap="1">
                <wp:simplePos x="0" y="0"/>
                <wp:positionH relativeFrom="column">
                  <wp:posOffset>8890</wp:posOffset>
                </wp:positionH>
                <wp:positionV relativeFrom="paragraph">
                  <wp:posOffset>277495</wp:posOffset>
                </wp:positionV>
                <wp:extent cx="5657850" cy="0"/>
                <wp:effectExtent l="0" t="9525" r="0" b="9525"/>
                <wp:wrapNone/>
                <wp:docPr id="8" name="直接连接符 8"/>
                <wp:cNvGraphicFramePr/>
                <a:graphic xmlns:a="http://schemas.openxmlformats.org/drawingml/2006/main">
                  <a:graphicData uri="http://schemas.microsoft.com/office/word/2010/wordprocessingShape">
                    <wps:wsp>
                      <wps:cNvCnPr/>
                      <wps:spPr>
                        <a:xfrm>
                          <a:off x="0" y="0"/>
                          <a:ext cx="5657850" cy="0"/>
                        </a:xfrm>
                        <a:prstGeom prst="line">
                          <a:avLst/>
                        </a:prstGeom>
                        <a:noFill/>
                        <a:ln w="19050" cap="flat" cmpd="sng" algn="ctr">
                          <a:solidFill>
                            <a:srgbClr val="000000"/>
                          </a:solidFill>
                          <a:prstDash val="solid"/>
                        </a:ln>
                      </wps:spPr>
                      <wps:bodyPr/>
                    </wps:wsp>
                  </a:graphicData>
                </a:graphic>
              </wp:anchor>
            </w:drawing>
          </mc:Choice>
          <mc:Fallback>
            <w:pict>
              <v:line id="_x0000_s1026" o:spid="_x0000_s1026" o:spt="20" style="position:absolute;left:0pt;margin-left:0.7pt;margin-top:21.85pt;height:0pt;width:445.5pt;z-index:251661312;mso-width-relative:page;mso-height-relative:page;" filled="f" stroked="t" coordsize="21600,21600" o:gfxdata="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w+M1TdIAAAAHAQAADwAAAAAAAAABACAAAAAi&#10;AAAAZHJzL2Rvd25yZXYueG1sUEsBAhQAFAAAAAgAh07iQN+4RN7XAQAAmwMAAA4AAAAAAAAAAQAg&#10;AAAAIQEAAGRycy9lMm9Eb2MueG1sUEsFBgAAAAAGAAYAWQEAAGoFAAAAAA==&#10;">
                <v:fill on="f" focussize="0,0"/>
                <v:stroke weight="1.5pt" color="#000000" joinstyle="round"/>
                <v:imagedata o:title=""/>
                <o:lock v:ext="edit" aspectratio="f"/>
              </v:line>
            </w:pict>
          </mc:Fallback>
        </mc:AlternateContent>
      </w:r>
    </w:p>
    <w:p w14:paraId="50873E4E">
      <w:pPr>
        <w:overflowPunct w:val="0"/>
        <w:autoSpaceDE w:val="0"/>
        <w:autoSpaceDN w:val="0"/>
        <w:spacing w:after="120"/>
        <w:ind w:left="1160" w:leftChars="100" w:hanging="840" w:hangingChars="300"/>
        <w:rPr>
          <w:rFonts w:ascii="Times New Roman" w:hAnsi="Times New Roman" w:eastAsia="仿宋_GB2312" w:cs="Times New Roman"/>
          <w:szCs w:val="32"/>
        </w:rPr>
      </w:pPr>
      <w:r>
        <w:rPr>
          <w:rFonts w:ascii="Times New Roman" w:hAnsi="Times New Roman" w:eastAsia="方正仿宋_GBK" w:cs="Times New Roman"/>
          <w:sz w:val="28"/>
          <w:szCs w:val="24"/>
        </w:rPr>
        <mc:AlternateContent>
          <mc:Choice Requires="wps">
            <w:drawing>
              <wp:anchor distT="0" distB="0" distL="114300" distR="114300" simplePos="0" relativeHeight="251660288" behindDoc="0" locked="0" layoutInCell="1" allowOverlap="1">
                <wp:simplePos x="0" y="0"/>
                <wp:positionH relativeFrom="column">
                  <wp:posOffset>18415</wp:posOffset>
                </wp:positionH>
                <wp:positionV relativeFrom="paragraph">
                  <wp:posOffset>563245</wp:posOffset>
                </wp:positionV>
                <wp:extent cx="5648325" cy="0"/>
                <wp:effectExtent l="0" t="5080" r="0" b="5080"/>
                <wp:wrapNone/>
                <wp:docPr id="6" name="直接连接符 6"/>
                <wp:cNvGraphicFramePr/>
                <a:graphic xmlns:a="http://schemas.openxmlformats.org/drawingml/2006/main">
                  <a:graphicData uri="http://schemas.microsoft.com/office/word/2010/wordprocessingShape">
                    <wps:wsp>
                      <wps:cNvCnPr/>
                      <wps:spPr>
                        <a:xfrm>
                          <a:off x="0" y="0"/>
                          <a:ext cx="5648325" cy="0"/>
                        </a:xfrm>
                        <a:prstGeom prst="line">
                          <a:avLst/>
                        </a:prstGeom>
                        <a:noFill/>
                        <a:ln w="10160" cap="flat" cmpd="sng" algn="ctr">
                          <a:solidFill>
                            <a:srgbClr val="000000"/>
                          </a:solidFill>
                          <a:prstDash val="solid"/>
                        </a:ln>
                      </wps:spPr>
                      <wps:bodyPr/>
                    </wps:wsp>
                  </a:graphicData>
                </a:graphic>
              </wp:anchor>
            </w:drawing>
          </mc:Choice>
          <mc:Fallback>
            <w:pict>
              <v:line id="_x0000_s1026" o:spid="_x0000_s1026" o:spt="20" style="position:absolute;left:0pt;margin-left:1.45pt;margin-top:44.35pt;height:0pt;width:444.75pt;z-index:251660288;mso-width-relative:page;mso-height-relative:page;" filled="f" stroked="t" coordsize="21600,21600" o:gfxdata="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h/Op60gAAAAcBAAAPAAAAAAAAAAEAIAAA&#10;ACIAAABkcnMvZG93bnJldi54bWxQSwECFAAUAAAACACHTuJATSlI0dkBAACbAwAADgAAAAAAAAAB&#10;ACAAAAAhAQAAZHJzL2Uyb0RvYy54bWxQSwUGAAAAAAYABgBZAQAAbAUAAAAA&#10;">
                <v:fill on="f" focussize="0,0"/>
                <v:stroke weight="0.8pt" color="#000000" joinstyle="round"/>
                <v:imagedata o:title=""/>
                <o:lock v:ext="edit" aspectratio="f"/>
              </v:line>
            </w:pict>
          </mc:Fallback>
        </mc:AlternateContent>
      </w:r>
      <w:r>
        <w:rPr>
          <w:rFonts w:hint="eastAsia" w:ascii="Times New Roman" w:hAnsi="Times New Roman" w:eastAsia="仿宋_GB2312" w:cs="Times New Roman"/>
          <w:kern w:val="0"/>
          <w:sz w:val="28"/>
          <w:szCs w:val="28"/>
        </w:rPr>
        <w:t>抄送：县委各部委办，县人大常委会办公室，县政协办公室，县法院，</w:t>
      </w:r>
      <w:r>
        <w:rPr>
          <w:rFonts w:ascii="Times New Roman" w:hAnsi="Times New Roman" w:eastAsia="仿宋_GB2312" w:cs="Times New Roman"/>
          <w:spacing w:val="-4"/>
          <w:kern w:val="0"/>
          <w:sz w:val="28"/>
          <w:szCs w:val="28"/>
        </w:rPr>
        <w:br w:type="textWrapping"/>
      </w:r>
      <w:r>
        <w:rPr>
          <w:rFonts w:hint="eastAsia" w:ascii="Times New Roman" w:hAnsi="Times New Roman" w:eastAsia="仿宋_GB2312" w:cs="Times New Roman"/>
          <w:kern w:val="0"/>
          <w:sz w:val="28"/>
          <w:szCs w:val="28"/>
        </w:rPr>
        <w:t>县检察院。</w:t>
      </w:r>
    </w:p>
    <w:p w14:paraId="6F6E1185">
      <w:pPr>
        <w:overflowPunct w:val="0"/>
        <w:autoSpaceDE w:val="0"/>
        <w:autoSpaceDN w:val="0"/>
        <w:adjustRightInd w:val="0"/>
        <w:ind w:left="320" w:leftChars="100"/>
        <w:jc w:val="left"/>
        <w:rPr>
          <w:rFonts w:ascii="Times New Roman" w:hAnsi="Times New Roman" w:eastAsia="方正仿宋_GBK" w:cs="Times New Roman"/>
          <w:kern w:val="0"/>
          <w:szCs w:val="24"/>
        </w:rPr>
      </w:pPr>
      <w:r>
        <w:rPr>
          <w:rFonts w:ascii="Times New Roman" w:hAnsi="Times New Roman" w:eastAsia="方正仿宋_GBK" w:cs="Times New Roman"/>
          <w:sz w:val="28"/>
          <w:szCs w:val="24"/>
        </w:rPr>
        <mc:AlternateContent>
          <mc:Choice Requires="wps">
            <w:drawing>
              <wp:anchor distT="0" distB="0" distL="114300" distR="114300" simplePos="0" relativeHeight="251659264" behindDoc="0" locked="0" layoutInCell="1" allowOverlap="1">
                <wp:simplePos x="0" y="0"/>
                <wp:positionH relativeFrom="column">
                  <wp:posOffset>8890</wp:posOffset>
                </wp:positionH>
                <wp:positionV relativeFrom="paragraph">
                  <wp:posOffset>287020</wp:posOffset>
                </wp:positionV>
                <wp:extent cx="5657850" cy="0"/>
                <wp:effectExtent l="0" t="9525" r="0" b="9525"/>
                <wp:wrapNone/>
                <wp:docPr id="5" name="直接连接符 5"/>
                <wp:cNvGraphicFramePr/>
                <a:graphic xmlns:a="http://schemas.openxmlformats.org/drawingml/2006/main">
                  <a:graphicData uri="http://schemas.microsoft.com/office/word/2010/wordprocessingShape">
                    <wps:wsp>
                      <wps:cNvCnPr/>
                      <wps:spPr>
                        <a:xfrm>
                          <a:off x="0" y="0"/>
                          <a:ext cx="5657850" cy="0"/>
                        </a:xfrm>
                        <a:prstGeom prst="line">
                          <a:avLst/>
                        </a:prstGeom>
                        <a:noFill/>
                        <a:ln w="19050" cap="flat" cmpd="sng" algn="ctr">
                          <a:solidFill>
                            <a:srgbClr val="000000"/>
                          </a:solidFill>
                          <a:prstDash val="solid"/>
                        </a:ln>
                      </wps:spPr>
                      <wps:bodyPr/>
                    </wps:wsp>
                  </a:graphicData>
                </a:graphic>
              </wp:anchor>
            </w:drawing>
          </mc:Choice>
          <mc:Fallback>
            <w:pict>
              <v:line id="_x0000_s1026" o:spid="_x0000_s1026" o:spt="20" style="position:absolute;left:0pt;margin-left:0.7pt;margin-top:22.6pt;height:0pt;width:445.5pt;z-index:251659264;mso-width-relative:page;mso-height-relative:page;" filled="f" stroked="t" coordsize="21600,21600" o:gfxdata="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bgF+7tIAAAAHAQAADwAAAAAAAAABACAAAAAi&#10;AAAAZHJzL2Rvd25yZXYueG1sUEsBAhQAFAAAAAgAh07iQEdI2MbXAQAAmwMAAA4AAAAAAAAAAQAg&#10;AAAAIQEAAGRycy9lMm9Eb2MueG1sUEsFBgAAAAAGAAYAWQEAAGoFAAAAAA==&#10;">
                <v:fill on="f" focussize="0,0"/>
                <v:stroke weight="1.5pt" color="#000000" joinstyle="round"/>
                <v:imagedata o:title=""/>
                <o:lock v:ext="edit" aspectratio="f"/>
              </v:line>
            </w:pict>
          </mc:Fallback>
        </mc:AlternateContent>
      </w:r>
      <w:r>
        <w:rPr>
          <w:rFonts w:hint="eastAsia" w:ascii="Times New Roman" w:hAnsi="Times New Roman" w:eastAsia="仿宋_GB2312" w:cs="Times New Roman"/>
          <w:kern w:val="0"/>
          <w:sz w:val="28"/>
          <w:szCs w:val="28"/>
        </w:rPr>
        <w:t xml:space="preserve">金湖县人民政府办公室                     </w:t>
      </w:r>
      <w:r>
        <w:rPr>
          <w:rFonts w:hint="eastAsia" w:ascii="Times New Roman" w:hAnsi="Times New Roman" w:eastAsia="仿宋_GB2312" w:cs="Times New Roman"/>
          <w:kern w:val="0"/>
          <w:sz w:val="28"/>
          <w:szCs w:val="28"/>
          <w:lang w:val="en-US" w:eastAsia="zh-CN"/>
        </w:rPr>
        <w:t xml:space="preserve">  </w:t>
      </w:r>
      <w:r>
        <w:rPr>
          <w:rFonts w:hint="eastAsia" w:ascii="Times New Roman" w:hAnsi="Times New Roman" w:eastAsia="仿宋_GB2312" w:cs="Times New Roman"/>
          <w:kern w:val="0"/>
          <w:sz w:val="28"/>
          <w:szCs w:val="28"/>
        </w:rPr>
        <w:t xml:space="preserve"> 2026年7月1日印发 </w:t>
      </w:r>
    </w:p>
    <w:sectPr>
      <w:footerReference r:id="rId3" w:type="default"/>
      <w:footerReference r:id="rId4" w:type="even"/>
      <w:pgSz w:w="11906" w:h="16838"/>
      <w:pgMar w:top="2098" w:right="1531" w:bottom="1985" w:left="1531" w:header="851" w:footer="992" w:gutter="0"/>
      <w:pgNumType w:start="1"/>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A7933">
    <w:pPr>
      <w:pStyle w:val="13"/>
      <w:ind w:right="320" w:rightChars="100"/>
      <w:jc w:val="right"/>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11</w:t>
    </w:r>
    <w:r>
      <w:rPr>
        <w:rFonts w:ascii="宋体" w:hAnsi="宋体"/>
        <w:sz w:val="28"/>
        <w:szCs w:val="28"/>
      </w:rPr>
      <w:fldChar w:fldCharType="end"/>
    </w:r>
    <w:r>
      <w:rPr>
        <w:rFonts w:hint="eastAsia" w:ascii="宋体" w:hAnsi="宋体"/>
        <w:sz w:val="28"/>
        <w:szCs w:val="28"/>
      </w:rPr>
      <w:t xml:space="preserve"> </w:t>
    </w:r>
    <w:r>
      <w:rPr>
        <w:rFonts w:ascii="宋体" w:hAnsi="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53B45">
    <w:pPr>
      <w:pStyle w:val="13"/>
      <w:ind w:left="320" w:leftChars="100"/>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10</w:t>
    </w:r>
    <w:r>
      <w:rPr>
        <w:rFonts w:ascii="宋体" w:hAnsi="宋体"/>
        <w:sz w:val="28"/>
        <w:szCs w:val="28"/>
      </w:rPr>
      <w:fldChar w:fldCharType="end"/>
    </w:r>
    <w:r>
      <w:rPr>
        <w:rFonts w:hint="eastAsia" w:ascii="宋体" w:hAnsi="宋体"/>
        <w:sz w:val="28"/>
        <w:szCs w:val="28"/>
      </w:rPr>
      <w:t xml:space="preserve"> </w:t>
    </w:r>
    <w:r>
      <w:rPr>
        <w:rFonts w:ascii="宋体" w:hAnsi="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D90"/>
    <w:rsid w:val="0000120A"/>
    <w:rsid w:val="000012CE"/>
    <w:rsid w:val="00001A2F"/>
    <w:rsid w:val="00004CB6"/>
    <w:rsid w:val="00005EDF"/>
    <w:rsid w:val="00014F39"/>
    <w:rsid w:val="000154ED"/>
    <w:rsid w:val="00020BC9"/>
    <w:rsid w:val="00020D37"/>
    <w:rsid w:val="00021389"/>
    <w:rsid w:val="000265B0"/>
    <w:rsid w:val="00026960"/>
    <w:rsid w:val="00032E52"/>
    <w:rsid w:val="00034117"/>
    <w:rsid w:val="00037198"/>
    <w:rsid w:val="000377BD"/>
    <w:rsid w:val="00044239"/>
    <w:rsid w:val="000539B1"/>
    <w:rsid w:val="00054321"/>
    <w:rsid w:val="00055E44"/>
    <w:rsid w:val="0005624E"/>
    <w:rsid w:val="000604B7"/>
    <w:rsid w:val="00064573"/>
    <w:rsid w:val="000650E8"/>
    <w:rsid w:val="000655B2"/>
    <w:rsid w:val="00071E08"/>
    <w:rsid w:val="00075F71"/>
    <w:rsid w:val="000775D6"/>
    <w:rsid w:val="00083778"/>
    <w:rsid w:val="000842CE"/>
    <w:rsid w:val="00087B7D"/>
    <w:rsid w:val="00087CF7"/>
    <w:rsid w:val="0009149B"/>
    <w:rsid w:val="00093D50"/>
    <w:rsid w:val="00094137"/>
    <w:rsid w:val="000947D7"/>
    <w:rsid w:val="00094E7F"/>
    <w:rsid w:val="000A1ACB"/>
    <w:rsid w:val="000A2233"/>
    <w:rsid w:val="000A7EFE"/>
    <w:rsid w:val="000B1BEC"/>
    <w:rsid w:val="000B6FDC"/>
    <w:rsid w:val="000D015C"/>
    <w:rsid w:val="000D3A22"/>
    <w:rsid w:val="000D62AE"/>
    <w:rsid w:val="000E1719"/>
    <w:rsid w:val="000E19BB"/>
    <w:rsid w:val="000E23EE"/>
    <w:rsid w:val="000E4689"/>
    <w:rsid w:val="000F0760"/>
    <w:rsid w:val="000F11EE"/>
    <w:rsid w:val="000F3DAA"/>
    <w:rsid w:val="000F451C"/>
    <w:rsid w:val="000F7C33"/>
    <w:rsid w:val="0010468A"/>
    <w:rsid w:val="00104A72"/>
    <w:rsid w:val="00105B68"/>
    <w:rsid w:val="00106DC2"/>
    <w:rsid w:val="00106E22"/>
    <w:rsid w:val="00117AEC"/>
    <w:rsid w:val="00120D78"/>
    <w:rsid w:val="00126011"/>
    <w:rsid w:val="0012782C"/>
    <w:rsid w:val="00134776"/>
    <w:rsid w:val="00136138"/>
    <w:rsid w:val="00136E9E"/>
    <w:rsid w:val="00136EC2"/>
    <w:rsid w:val="001422A0"/>
    <w:rsid w:val="00142E7D"/>
    <w:rsid w:val="00143B43"/>
    <w:rsid w:val="00143C8E"/>
    <w:rsid w:val="00143CA6"/>
    <w:rsid w:val="0014572E"/>
    <w:rsid w:val="00146508"/>
    <w:rsid w:val="00151211"/>
    <w:rsid w:val="0015150F"/>
    <w:rsid w:val="00151A8E"/>
    <w:rsid w:val="00154E69"/>
    <w:rsid w:val="00162C91"/>
    <w:rsid w:val="00164859"/>
    <w:rsid w:val="00167D46"/>
    <w:rsid w:val="00170462"/>
    <w:rsid w:val="001755A6"/>
    <w:rsid w:val="00180E59"/>
    <w:rsid w:val="00184A65"/>
    <w:rsid w:val="00195121"/>
    <w:rsid w:val="00195BAD"/>
    <w:rsid w:val="001973E4"/>
    <w:rsid w:val="001974A8"/>
    <w:rsid w:val="00197FC4"/>
    <w:rsid w:val="001A3175"/>
    <w:rsid w:val="001A5E0F"/>
    <w:rsid w:val="001B24C0"/>
    <w:rsid w:val="001B3CAA"/>
    <w:rsid w:val="001B3DF2"/>
    <w:rsid w:val="001B5974"/>
    <w:rsid w:val="001B7775"/>
    <w:rsid w:val="001C2083"/>
    <w:rsid w:val="001C2433"/>
    <w:rsid w:val="001D1C55"/>
    <w:rsid w:val="001D20BC"/>
    <w:rsid w:val="001D2E95"/>
    <w:rsid w:val="001D4E58"/>
    <w:rsid w:val="001D6E55"/>
    <w:rsid w:val="001D6F1C"/>
    <w:rsid w:val="001E7307"/>
    <w:rsid w:val="001E7DD6"/>
    <w:rsid w:val="001F0EA2"/>
    <w:rsid w:val="001F65B1"/>
    <w:rsid w:val="001F7C98"/>
    <w:rsid w:val="00203B78"/>
    <w:rsid w:val="002059C4"/>
    <w:rsid w:val="00207E08"/>
    <w:rsid w:val="00212889"/>
    <w:rsid w:val="00222F7D"/>
    <w:rsid w:val="00223F78"/>
    <w:rsid w:val="00231255"/>
    <w:rsid w:val="00231981"/>
    <w:rsid w:val="0023641A"/>
    <w:rsid w:val="00246E96"/>
    <w:rsid w:val="0025203F"/>
    <w:rsid w:val="002526BA"/>
    <w:rsid w:val="00253370"/>
    <w:rsid w:val="002563E2"/>
    <w:rsid w:val="002613EB"/>
    <w:rsid w:val="002628FE"/>
    <w:rsid w:val="00265378"/>
    <w:rsid w:val="002667A8"/>
    <w:rsid w:val="00271708"/>
    <w:rsid w:val="00275271"/>
    <w:rsid w:val="002809CA"/>
    <w:rsid w:val="00280D9D"/>
    <w:rsid w:val="002831CD"/>
    <w:rsid w:val="00285B3F"/>
    <w:rsid w:val="00285CB0"/>
    <w:rsid w:val="002931DC"/>
    <w:rsid w:val="00294A5E"/>
    <w:rsid w:val="002952A0"/>
    <w:rsid w:val="0029620B"/>
    <w:rsid w:val="00297022"/>
    <w:rsid w:val="002A1D7D"/>
    <w:rsid w:val="002A3102"/>
    <w:rsid w:val="002A561C"/>
    <w:rsid w:val="002A6D68"/>
    <w:rsid w:val="002B0A72"/>
    <w:rsid w:val="002B38EE"/>
    <w:rsid w:val="002B4374"/>
    <w:rsid w:val="002B67C5"/>
    <w:rsid w:val="002C148A"/>
    <w:rsid w:val="002C4B04"/>
    <w:rsid w:val="002C4B5F"/>
    <w:rsid w:val="002D324B"/>
    <w:rsid w:val="002D5632"/>
    <w:rsid w:val="002D7250"/>
    <w:rsid w:val="002E2D59"/>
    <w:rsid w:val="002E4E5B"/>
    <w:rsid w:val="002E6F2F"/>
    <w:rsid w:val="002E7612"/>
    <w:rsid w:val="002F09A0"/>
    <w:rsid w:val="002F2510"/>
    <w:rsid w:val="002F259D"/>
    <w:rsid w:val="002F446F"/>
    <w:rsid w:val="00300A60"/>
    <w:rsid w:val="003026CA"/>
    <w:rsid w:val="00302DE8"/>
    <w:rsid w:val="00307B92"/>
    <w:rsid w:val="0031092B"/>
    <w:rsid w:val="00321ED3"/>
    <w:rsid w:val="00322A87"/>
    <w:rsid w:val="00322BBC"/>
    <w:rsid w:val="00327DD8"/>
    <w:rsid w:val="0033172C"/>
    <w:rsid w:val="00332178"/>
    <w:rsid w:val="00332994"/>
    <w:rsid w:val="00336F0B"/>
    <w:rsid w:val="003422C7"/>
    <w:rsid w:val="00342CEA"/>
    <w:rsid w:val="00345615"/>
    <w:rsid w:val="003468B3"/>
    <w:rsid w:val="00350D65"/>
    <w:rsid w:val="00351D32"/>
    <w:rsid w:val="00351E0F"/>
    <w:rsid w:val="003676E1"/>
    <w:rsid w:val="003706F7"/>
    <w:rsid w:val="0037124C"/>
    <w:rsid w:val="003724AD"/>
    <w:rsid w:val="00373703"/>
    <w:rsid w:val="00373F1C"/>
    <w:rsid w:val="00375828"/>
    <w:rsid w:val="00376D85"/>
    <w:rsid w:val="00376EA1"/>
    <w:rsid w:val="00377589"/>
    <w:rsid w:val="003800FF"/>
    <w:rsid w:val="00380244"/>
    <w:rsid w:val="00381437"/>
    <w:rsid w:val="00382406"/>
    <w:rsid w:val="003832FD"/>
    <w:rsid w:val="0038696A"/>
    <w:rsid w:val="003878EE"/>
    <w:rsid w:val="00387E53"/>
    <w:rsid w:val="00392371"/>
    <w:rsid w:val="00394078"/>
    <w:rsid w:val="00397A47"/>
    <w:rsid w:val="003A13F7"/>
    <w:rsid w:val="003A332D"/>
    <w:rsid w:val="003A3840"/>
    <w:rsid w:val="003A739E"/>
    <w:rsid w:val="003A7FBE"/>
    <w:rsid w:val="003B68E3"/>
    <w:rsid w:val="003B6D23"/>
    <w:rsid w:val="003C05E3"/>
    <w:rsid w:val="003C1036"/>
    <w:rsid w:val="003C16AA"/>
    <w:rsid w:val="003C1B08"/>
    <w:rsid w:val="003D462B"/>
    <w:rsid w:val="003D5E64"/>
    <w:rsid w:val="003D6707"/>
    <w:rsid w:val="003D6FE5"/>
    <w:rsid w:val="003E0BFA"/>
    <w:rsid w:val="003E2501"/>
    <w:rsid w:val="003E3072"/>
    <w:rsid w:val="003E4214"/>
    <w:rsid w:val="003E7CBD"/>
    <w:rsid w:val="003F057C"/>
    <w:rsid w:val="003F55B7"/>
    <w:rsid w:val="003F591C"/>
    <w:rsid w:val="003F61F6"/>
    <w:rsid w:val="003F6639"/>
    <w:rsid w:val="0040515E"/>
    <w:rsid w:val="00405DAA"/>
    <w:rsid w:val="0040644D"/>
    <w:rsid w:val="00410EE0"/>
    <w:rsid w:val="00411495"/>
    <w:rsid w:val="00414609"/>
    <w:rsid w:val="0042018D"/>
    <w:rsid w:val="0042234E"/>
    <w:rsid w:val="00430586"/>
    <w:rsid w:val="00433550"/>
    <w:rsid w:val="004350A5"/>
    <w:rsid w:val="00435B7E"/>
    <w:rsid w:val="0043714E"/>
    <w:rsid w:val="00440417"/>
    <w:rsid w:val="00441951"/>
    <w:rsid w:val="00444499"/>
    <w:rsid w:val="00444A71"/>
    <w:rsid w:val="00446703"/>
    <w:rsid w:val="0045005B"/>
    <w:rsid w:val="00450E0D"/>
    <w:rsid w:val="00451DA3"/>
    <w:rsid w:val="00453384"/>
    <w:rsid w:val="0045416E"/>
    <w:rsid w:val="0045428C"/>
    <w:rsid w:val="00454294"/>
    <w:rsid w:val="004573B7"/>
    <w:rsid w:val="00457810"/>
    <w:rsid w:val="00462FC6"/>
    <w:rsid w:val="00463450"/>
    <w:rsid w:val="00464F4D"/>
    <w:rsid w:val="00465C9C"/>
    <w:rsid w:val="00467945"/>
    <w:rsid w:val="00474DB8"/>
    <w:rsid w:val="004809B5"/>
    <w:rsid w:val="004829E3"/>
    <w:rsid w:val="00485073"/>
    <w:rsid w:val="00486FE8"/>
    <w:rsid w:val="00491093"/>
    <w:rsid w:val="00492198"/>
    <w:rsid w:val="00493CBF"/>
    <w:rsid w:val="00494291"/>
    <w:rsid w:val="00494534"/>
    <w:rsid w:val="00495DB2"/>
    <w:rsid w:val="0049611B"/>
    <w:rsid w:val="004966EF"/>
    <w:rsid w:val="004976A8"/>
    <w:rsid w:val="00497AF9"/>
    <w:rsid w:val="004A115A"/>
    <w:rsid w:val="004A1437"/>
    <w:rsid w:val="004A1B10"/>
    <w:rsid w:val="004A3484"/>
    <w:rsid w:val="004A4DE3"/>
    <w:rsid w:val="004B0DC7"/>
    <w:rsid w:val="004B2A6A"/>
    <w:rsid w:val="004B3E5F"/>
    <w:rsid w:val="004B623D"/>
    <w:rsid w:val="004B6FED"/>
    <w:rsid w:val="004C4BBF"/>
    <w:rsid w:val="004D28B6"/>
    <w:rsid w:val="004D296B"/>
    <w:rsid w:val="004D4C1D"/>
    <w:rsid w:val="004E7FAC"/>
    <w:rsid w:val="004F008F"/>
    <w:rsid w:val="004F4850"/>
    <w:rsid w:val="004F5EC4"/>
    <w:rsid w:val="004F608E"/>
    <w:rsid w:val="004F6D7E"/>
    <w:rsid w:val="00501CDB"/>
    <w:rsid w:val="00504E6E"/>
    <w:rsid w:val="0050620C"/>
    <w:rsid w:val="00512EBF"/>
    <w:rsid w:val="00516388"/>
    <w:rsid w:val="0051731F"/>
    <w:rsid w:val="00522327"/>
    <w:rsid w:val="00524AC5"/>
    <w:rsid w:val="00524B35"/>
    <w:rsid w:val="00526729"/>
    <w:rsid w:val="0052689A"/>
    <w:rsid w:val="00526D6B"/>
    <w:rsid w:val="005307D5"/>
    <w:rsid w:val="00532293"/>
    <w:rsid w:val="005335FD"/>
    <w:rsid w:val="0053624A"/>
    <w:rsid w:val="00537AEA"/>
    <w:rsid w:val="00537F12"/>
    <w:rsid w:val="0054268A"/>
    <w:rsid w:val="0054475C"/>
    <w:rsid w:val="005472FA"/>
    <w:rsid w:val="00547FF0"/>
    <w:rsid w:val="0055467A"/>
    <w:rsid w:val="00555367"/>
    <w:rsid w:val="00555A18"/>
    <w:rsid w:val="005568EE"/>
    <w:rsid w:val="00556B98"/>
    <w:rsid w:val="005609CA"/>
    <w:rsid w:val="005623E8"/>
    <w:rsid w:val="005636F4"/>
    <w:rsid w:val="00566708"/>
    <w:rsid w:val="00566804"/>
    <w:rsid w:val="00570523"/>
    <w:rsid w:val="00570CB3"/>
    <w:rsid w:val="00573F80"/>
    <w:rsid w:val="00573F9F"/>
    <w:rsid w:val="005749A9"/>
    <w:rsid w:val="00576C0E"/>
    <w:rsid w:val="00576ED0"/>
    <w:rsid w:val="005779A5"/>
    <w:rsid w:val="00580A17"/>
    <w:rsid w:val="00582E7B"/>
    <w:rsid w:val="00591FAF"/>
    <w:rsid w:val="00592378"/>
    <w:rsid w:val="00592A3F"/>
    <w:rsid w:val="00593412"/>
    <w:rsid w:val="005A19AC"/>
    <w:rsid w:val="005B205D"/>
    <w:rsid w:val="005C20FA"/>
    <w:rsid w:val="005C27D4"/>
    <w:rsid w:val="005C591E"/>
    <w:rsid w:val="005C6A79"/>
    <w:rsid w:val="005D5A62"/>
    <w:rsid w:val="005D62F2"/>
    <w:rsid w:val="005E4BC7"/>
    <w:rsid w:val="005F2268"/>
    <w:rsid w:val="005F3940"/>
    <w:rsid w:val="00601B1C"/>
    <w:rsid w:val="00604FB5"/>
    <w:rsid w:val="00607BD5"/>
    <w:rsid w:val="006113BB"/>
    <w:rsid w:val="00611AD4"/>
    <w:rsid w:val="00613F92"/>
    <w:rsid w:val="00617867"/>
    <w:rsid w:val="0062039A"/>
    <w:rsid w:val="0062265C"/>
    <w:rsid w:val="006229E2"/>
    <w:rsid w:val="00626451"/>
    <w:rsid w:val="0063051E"/>
    <w:rsid w:val="006314F8"/>
    <w:rsid w:val="006315F3"/>
    <w:rsid w:val="00634D9A"/>
    <w:rsid w:val="00635718"/>
    <w:rsid w:val="006362DB"/>
    <w:rsid w:val="0063714A"/>
    <w:rsid w:val="006373FC"/>
    <w:rsid w:val="00652253"/>
    <w:rsid w:val="006555DD"/>
    <w:rsid w:val="00657ECC"/>
    <w:rsid w:val="0066069B"/>
    <w:rsid w:val="00662FE4"/>
    <w:rsid w:val="006635A7"/>
    <w:rsid w:val="00670F77"/>
    <w:rsid w:val="006767B4"/>
    <w:rsid w:val="00676EC7"/>
    <w:rsid w:val="00681D9A"/>
    <w:rsid w:val="00681EB7"/>
    <w:rsid w:val="0068356C"/>
    <w:rsid w:val="00685326"/>
    <w:rsid w:val="0068583F"/>
    <w:rsid w:val="00691023"/>
    <w:rsid w:val="006927DB"/>
    <w:rsid w:val="00697E96"/>
    <w:rsid w:val="006A18AB"/>
    <w:rsid w:val="006A324D"/>
    <w:rsid w:val="006A3D33"/>
    <w:rsid w:val="006A5A14"/>
    <w:rsid w:val="006A6BB3"/>
    <w:rsid w:val="006A7F9B"/>
    <w:rsid w:val="006B0DCE"/>
    <w:rsid w:val="006B353F"/>
    <w:rsid w:val="006B5FBF"/>
    <w:rsid w:val="006C0057"/>
    <w:rsid w:val="006D123D"/>
    <w:rsid w:val="006D1470"/>
    <w:rsid w:val="006D1AE0"/>
    <w:rsid w:val="006D2204"/>
    <w:rsid w:val="006E2430"/>
    <w:rsid w:val="006E3761"/>
    <w:rsid w:val="006E38D6"/>
    <w:rsid w:val="006E43FA"/>
    <w:rsid w:val="006E49B6"/>
    <w:rsid w:val="006E7662"/>
    <w:rsid w:val="006F22DF"/>
    <w:rsid w:val="006F2ACB"/>
    <w:rsid w:val="006F2EC1"/>
    <w:rsid w:val="006F46D9"/>
    <w:rsid w:val="0070120E"/>
    <w:rsid w:val="00705EC6"/>
    <w:rsid w:val="00706FF6"/>
    <w:rsid w:val="00714BB0"/>
    <w:rsid w:val="0071618F"/>
    <w:rsid w:val="0071653A"/>
    <w:rsid w:val="00720A91"/>
    <w:rsid w:val="00721863"/>
    <w:rsid w:val="00724EA9"/>
    <w:rsid w:val="00730324"/>
    <w:rsid w:val="00730A73"/>
    <w:rsid w:val="0073174D"/>
    <w:rsid w:val="007319B3"/>
    <w:rsid w:val="007319F6"/>
    <w:rsid w:val="007342AF"/>
    <w:rsid w:val="007359E7"/>
    <w:rsid w:val="00746402"/>
    <w:rsid w:val="00750CCE"/>
    <w:rsid w:val="00753603"/>
    <w:rsid w:val="00753E7A"/>
    <w:rsid w:val="00754BA6"/>
    <w:rsid w:val="00756DAC"/>
    <w:rsid w:val="00757F7D"/>
    <w:rsid w:val="00766824"/>
    <w:rsid w:val="00766C84"/>
    <w:rsid w:val="00766F47"/>
    <w:rsid w:val="007761BC"/>
    <w:rsid w:val="00776E32"/>
    <w:rsid w:val="007830F9"/>
    <w:rsid w:val="00783F0E"/>
    <w:rsid w:val="00791492"/>
    <w:rsid w:val="007A0281"/>
    <w:rsid w:val="007A6C0C"/>
    <w:rsid w:val="007A7570"/>
    <w:rsid w:val="007C0BA0"/>
    <w:rsid w:val="007C25FE"/>
    <w:rsid w:val="007C57AB"/>
    <w:rsid w:val="007C7BEB"/>
    <w:rsid w:val="007D1EDE"/>
    <w:rsid w:val="007D49AB"/>
    <w:rsid w:val="007D4F99"/>
    <w:rsid w:val="007D5904"/>
    <w:rsid w:val="007D5E89"/>
    <w:rsid w:val="007D68D5"/>
    <w:rsid w:val="007E19E5"/>
    <w:rsid w:val="007E6B70"/>
    <w:rsid w:val="007E70CA"/>
    <w:rsid w:val="007E789F"/>
    <w:rsid w:val="007F4128"/>
    <w:rsid w:val="007F4376"/>
    <w:rsid w:val="007F5C59"/>
    <w:rsid w:val="0080002F"/>
    <w:rsid w:val="00807675"/>
    <w:rsid w:val="008133B9"/>
    <w:rsid w:val="0081354C"/>
    <w:rsid w:val="00816A1F"/>
    <w:rsid w:val="008265BE"/>
    <w:rsid w:val="008279CD"/>
    <w:rsid w:val="00830F34"/>
    <w:rsid w:val="00830FAB"/>
    <w:rsid w:val="00845097"/>
    <w:rsid w:val="00847E82"/>
    <w:rsid w:val="008520DA"/>
    <w:rsid w:val="00852AD7"/>
    <w:rsid w:val="00864D3F"/>
    <w:rsid w:val="00864E7A"/>
    <w:rsid w:val="00865187"/>
    <w:rsid w:val="00867E92"/>
    <w:rsid w:val="00870D39"/>
    <w:rsid w:val="00871100"/>
    <w:rsid w:val="0087302D"/>
    <w:rsid w:val="00874074"/>
    <w:rsid w:val="00874C11"/>
    <w:rsid w:val="00875370"/>
    <w:rsid w:val="00877C3B"/>
    <w:rsid w:val="008815FC"/>
    <w:rsid w:val="00887F37"/>
    <w:rsid w:val="008A2C94"/>
    <w:rsid w:val="008A3C83"/>
    <w:rsid w:val="008A3D1E"/>
    <w:rsid w:val="008A721B"/>
    <w:rsid w:val="008A782A"/>
    <w:rsid w:val="008B1229"/>
    <w:rsid w:val="008B54F9"/>
    <w:rsid w:val="008B598F"/>
    <w:rsid w:val="008B6C21"/>
    <w:rsid w:val="008C0DB4"/>
    <w:rsid w:val="008C45B9"/>
    <w:rsid w:val="008C566D"/>
    <w:rsid w:val="008C6C98"/>
    <w:rsid w:val="008D2506"/>
    <w:rsid w:val="008D2A53"/>
    <w:rsid w:val="008D41DF"/>
    <w:rsid w:val="008E27F4"/>
    <w:rsid w:val="008E2B57"/>
    <w:rsid w:val="008E307D"/>
    <w:rsid w:val="008E3994"/>
    <w:rsid w:val="008E73C9"/>
    <w:rsid w:val="008F1648"/>
    <w:rsid w:val="008F1D90"/>
    <w:rsid w:val="008F352E"/>
    <w:rsid w:val="008F3C78"/>
    <w:rsid w:val="008F5639"/>
    <w:rsid w:val="008F5C13"/>
    <w:rsid w:val="008F60E3"/>
    <w:rsid w:val="008F6C52"/>
    <w:rsid w:val="009000D6"/>
    <w:rsid w:val="009029D3"/>
    <w:rsid w:val="009070E7"/>
    <w:rsid w:val="009079EF"/>
    <w:rsid w:val="0091187F"/>
    <w:rsid w:val="00912E76"/>
    <w:rsid w:val="00913CBA"/>
    <w:rsid w:val="0091682F"/>
    <w:rsid w:val="0091763B"/>
    <w:rsid w:val="009234D9"/>
    <w:rsid w:val="00923B13"/>
    <w:rsid w:val="00931168"/>
    <w:rsid w:val="009316B0"/>
    <w:rsid w:val="009332A4"/>
    <w:rsid w:val="009353FA"/>
    <w:rsid w:val="00937AC6"/>
    <w:rsid w:val="0094030D"/>
    <w:rsid w:val="00950DE0"/>
    <w:rsid w:val="00951931"/>
    <w:rsid w:val="009546E1"/>
    <w:rsid w:val="009615A7"/>
    <w:rsid w:val="00974431"/>
    <w:rsid w:val="0097483F"/>
    <w:rsid w:val="009751E1"/>
    <w:rsid w:val="00977FE7"/>
    <w:rsid w:val="009805FD"/>
    <w:rsid w:val="00983525"/>
    <w:rsid w:val="00984C81"/>
    <w:rsid w:val="0098503A"/>
    <w:rsid w:val="0098576B"/>
    <w:rsid w:val="00991592"/>
    <w:rsid w:val="00991631"/>
    <w:rsid w:val="00993925"/>
    <w:rsid w:val="00994CC4"/>
    <w:rsid w:val="00995EE2"/>
    <w:rsid w:val="009977C1"/>
    <w:rsid w:val="009A12C5"/>
    <w:rsid w:val="009A223D"/>
    <w:rsid w:val="009A35FD"/>
    <w:rsid w:val="009A4526"/>
    <w:rsid w:val="009A61B4"/>
    <w:rsid w:val="009B0E8E"/>
    <w:rsid w:val="009B3956"/>
    <w:rsid w:val="009B4433"/>
    <w:rsid w:val="009C38E0"/>
    <w:rsid w:val="009D0DAD"/>
    <w:rsid w:val="009D11B8"/>
    <w:rsid w:val="009D2565"/>
    <w:rsid w:val="009D567E"/>
    <w:rsid w:val="009E05B2"/>
    <w:rsid w:val="009E70D5"/>
    <w:rsid w:val="009E7BAE"/>
    <w:rsid w:val="009F4B49"/>
    <w:rsid w:val="009F6FB8"/>
    <w:rsid w:val="00A01A96"/>
    <w:rsid w:val="00A05B57"/>
    <w:rsid w:val="00A06FF3"/>
    <w:rsid w:val="00A11818"/>
    <w:rsid w:val="00A12C72"/>
    <w:rsid w:val="00A13315"/>
    <w:rsid w:val="00A13DA6"/>
    <w:rsid w:val="00A15EEC"/>
    <w:rsid w:val="00A16019"/>
    <w:rsid w:val="00A1631D"/>
    <w:rsid w:val="00A17792"/>
    <w:rsid w:val="00A21853"/>
    <w:rsid w:val="00A23F21"/>
    <w:rsid w:val="00A24730"/>
    <w:rsid w:val="00A313CE"/>
    <w:rsid w:val="00A31699"/>
    <w:rsid w:val="00A32441"/>
    <w:rsid w:val="00A3549D"/>
    <w:rsid w:val="00A3771E"/>
    <w:rsid w:val="00A41570"/>
    <w:rsid w:val="00A43778"/>
    <w:rsid w:val="00A529D8"/>
    <w:rsid w:val="00A53A14"/>
    <w:rsid w:val="00A53AF3"/>
    <w:rsid w:val="00A5400E"/>
    <w:rsid w:val="00A62180"/>
    <w:rsid w:val="00A62945"/>
    <w:rsid w:val="00A63DB7"/>
    <w:rsid w:val="00A65CF0"/>
    <w:rsid w:val="00A718E9"/>
    <w:rsid w:val="00A72E0C"/>
    <w:rsid w:val="00A7369A"/>
    <w:rsid w:val="00A821A7"/>
    <w:rsid w:val="00A9238F"/>
    <w:rsid w:val="00A9248F"/>
    <w:rsid w:val="00A93307"/>
    <w:rsid w:val="00A95972"/>
    <w:rsid w:val="00A96355"/>
    <w:rsid w:val="00A97719"/>
    <w:rsid w:val="00AA1905"/>
    <w:rsid w:val="00AA363C"/>
    <w:rsid w:val="00AA3D11"/>
    <w:rsid w:val="00AA5C02"/>
    <w:rsid w:val="00AA7361"/>
    <w:rsid w:val="00AB1B1E"/>
    <w:rsid w:val="00AB1E7A"/>
    <w:rsid w:val="00AB1F6C"/>
    <w:rsid w:val="00AB507A"/>
    <w:rsid w:val="00AB533A"/>
    <w:rsid w:val="00AB57BB"/>
    <w:rsid w:val="00AB67B6"/>
    <w:rsid w:val="00AB6D9E"/>
    <w:rsid w:val="00AC0DA2"/>
    <w:rsid w:val="00AC4071"/>
    <w:rsid w:val="00AC42C8"/>
    <w:rsid w:val="00AC538A"/>
    <w:rsid w:val="00AD4E78"/>
    <w:rsid w:val="00AD5F65"/>
    <w:rsid w:val="00AD6F4E"/>
    <w:rsid w:val="00AD7235"/>
    <w:rsid w:val="00AE1F28"/>
    <w:rsid w:val="00AE41E1"/>
    <w:rsid w:val="00AE651C"/>
    <w:rsid w:val="00AF1585"/>
    <w:rsid w:val="00B00E22"/>
    <w:rsid w:val="00B07BDA"/>
    <w:rsid w:val="00B137B4"/>
    <w:rsid w:val="00B16C78"/>
    <w:rsid w:val="00B20EDE"/>
    <w:rsid w:val="00B31653"/>
    <w:rsid w:val="00B3687F"/>
    <w:rsid w:val="00B4045D"/>
    <w:rsid w:val="00B40A5A"/>
    <w:rsid w:val="00B4189F"/>
    <w:rsid w:val="00B426BD"/>
    <w:rsid w:val="00B4342F"/>
    <w:rsid w:val="00B44065"/>
    <w:rsid w:val="00B44149"/>
    <w:rsid w:val="00B4514D"/>
    <w:rsid w:val="00B47795"/>
    <w:rsid w:val="00B50379"/>
    <w:rsid w:val="00B525E4"/>
    <w:rsid w:val="00B52D55"/>
    <w:rsid w:val="00B55A9C"/>
    <w:rsid w:val="00B61F78"/>
    <w:rsid w:val="00B622FE"/>
    <w:rsid w:val="00B6578C"/>
    <w:rsid w:val="00B65D34"/>
    <w:rsid w:val="00B67E09"/>
    <w:rsid w:val="00B70730"/>
    <w:rsid w:val="00B70DEF"/>
    <w:rsid w:val="00B70F8A"/>
    <w:rsid w:val="00B735D9"/>
    <w:rsid w:val="00B7518A"/>
    <w:rsid w:val="00B767DC"/>
    <w:rsid w:val="00B800BD"/>
    <w:rsid w:val="00B90AF9"/>
    <w:rsid w:val="00B92093"/>
    <w:rsid w:val="00BB1AF5"/>
    <w:rsid w:val="00BB2625"/>
    <w:rsid w:val="00BB4726"/>
    <w:rsid w:val="00BB5666"/>
    <w:rsid w:val="00BB5F5A"/>
    <w:rsid w:val="00BB7E60"/>
    <w:rsid w:val="00BC2D66"/>
    <w:rsid w:val="00BC30D1"/>
    <w:rsid w:val="00BC654E"/>
    <w:rsid w:val="00BD0223"/>
    <w:rsid w:val="00BD031F"/>
    <w:rsid w:val="00BD0706"/>
    <w:rsid w:val="00BD1FAF"/>
    <w:rsid w:val="00BD2511"/>
    <w:rsid w:val="00BD398C"/>
    <w:rsid w:val="00BD54F9"/>
    <w:rsid w:val="00BD6C94"/>
    <w:rsid w:val="00BE18A3"/>
    <w:rsid w:val="00BE4E8D"/>
    <w:rsid w:val="00BE7A58"/>
    <w:rsid w:val="00C05F9C"/>
    <w:rsid w:val="00C10737"/>
    <w:rsid w:val="00C111CE"/>
    <w:rsid w:val="00C114E0"/>
    <w:rsid w:val="00C13A02"/>
    <w:rsid w:val="00C140D3"/>
    <w:rsid w:val="00C1759E"/>
    <w:rsid w:val="00C17BBB"/>
    <w:rsid w:val="00C20DD3"/>
    <w:rsid w:val="00C218C4"/>
    <w:rsid w:val="00C22A63"/>
    <w:rsid w:val="00C260B4"/>
    <w:rsid w:val="00C26F5D"/>
    <w:rsid w:val="00C31AEF"/>
    <w:rsid w:val="00C31E4E"/>
    <w:rsid w:val="00C371C2"/>
    <w:rsid w:val="00C37520"/>
    <w:rsid w:val="00C4331E"/>
    <w:rsid w:val="00C4466A"/>
    <w:rsid w:val="00C447BA"/>
    <w:rsid w:val="00C45430"/>
    <w:rsid w:val="00C53AFA"/>
    <w:rsid w:val="00C53B15"/>
    <w:rsid w:val="00C60694"/>
    <w:rsid w:val="00C60DAD"/>
    <w:rsid w:val="00C70998"/>
    <w:rsid w:val="00C7238E"/>
    <w:rsid w:val="00C7442D"/>
    <w:rsid w:val="00C749AD"/>
    <w:rsid w:val="00C75EBC"/>
    <w:rsid w:val="00C769D7"/>
    <w:rsid w:val="00C80017"/>
    <w:rsid w:val="00C8111A"/>
    <w:rsid w:val="00C84F5A"/>
    <w:rsid w:val="00C85D75"/>
    <w:rsid w:val="00C86682"/>
    <w:rsid w:val="00C90AB7"/>
    <w:rsid w:val="00C930CC"/>
    <w:rsid w:val="00CA0AB3"/>
    <w:rsid w:val="00CA36AE"/>
    <w:rsid w:val="00CA4856"/>
    <w:rsid w:val="00CA75FB"/>
    <w:rsid w:val="00CB2170"/>
    <w:rsid w:val="00CB58AC"/>
    <w:rsid w:val="00CB5916"/>
    <w:rsid w:val="00CB6645"/>
    <w:rsid w:val="00CB7AB3"/>
    <w:rsid w:val="00CC00E5"/>
    <w:rsid w:val="00CC1491"/>
    <w:rsid w:val="00CC2AB4"/>
    <w:rsid w:val="00CC43BF"/>
    <w:rsid w:val="00CC7AB6"/>
    <w:rsid w:val="00CD01AC"/>
    <w:rsid w:val="00CD274A"/>
    <w:rsid w:val="00CD2CFE"/>
    <w:rsid w:val="00CD4208"/>
    <w:rsid w:val="00CD645C"/>
    <w:rsid w:val="00CE62E9"/>
    <w:rsid w:val="00CF1BF7"/>
    <w:rsid w:val="00CF1DDD"/>
    <w:rsid w:val="00CF1F42"/>
    <w:rsid w:val="00CF26FF"/>
    <w:rsid w:val="00CF4D42"/>
    <w:rsid w:val="00D04B21"/>
    <w:rsid w:val="00D051BB"/>
    <w:rsid w:val="00D05308"/>
    <w:rsid w:val="00D14652"/>
    <w:rsid w:val="00D15D1D"/>
    <w:rsid w:val="00D2347B"/>
    <w:rsid w:val="00D26BCA"/>
    <w:rsid w:val="00D32227"/>
    <w:rsid w:val="00D40CE1"/>
    <w:rsid w:val="00D44A31"/>
    <w:rsid w:val="00D47EC9"/>
    <w:rsid w:val="00D52C71"/>
    <w:rsid w:val="00D53ACF"/>
    <w:rsid w:val="00D54302"/>
    <w:rsid w:val="00D558E1"/>
    <w:rsid w:val="00D5603B"/>
    <w:rsid w:val="00D5723C"/>
    <w:rsid w:val="00D62A33"/>
    <w:rsid w:val="00D636CD"/>
    <w:rsid w:val="00D6381C"/>
    <w:rsid w:val="00D63E93"/>
    <w:rsid w:val="00D65327"/>
    <w:rsid w:val="00D71BA0"/>
    <w:rsid w:val="00D727D2"/>
    <w:rsid w:val="00D7319A"/>
    <w:rsid w:val="00D82BCC"/>
    <w:rsid w:val="00D84D66"/>
    <w:rsid w:val="00D86D8C"/>
    <w:rsid w:val="00D86FEA"/>
    <w:rsid w:val="00D8706A"/>
    <w:rsid w:val="00D947DC"/>
    <w:rsid w:val="00D97A08"/>
    <w:rsid w:val="00DA10BE"/>
    <w:rsid w:val="00DA209B"/>
    <w:rsid w:val="00DA3991"/>
    <w:rsid w:val="00DA7B4E"/>
    <w:rsid w:val="00DB20A8"/>
    <w:rsid w:val="00DB36CF"/>
    <w:rsid w:val="00DB49BE"/>
    <w:rsid w:val="00DB75D9"/>
    <w:rsid w:val="00DC03F7"/>
    <w:rsid w:val="00DC1213"/>
    <w:rsid w:val="00DC1E1A"/>
    <w:rsid w:val="00DC6E07"/>
    <w:rsid w:val="00DD2387"/>
    <w:rsid w:val="00DD76D5"/>
    <w:rsid w:val="00DD7A21"/>
    <w:rsid w:val="00DE03B0"/>
    <w:rsid w:val="00DE0BB9"/>
    <w:rsid w:val="00DE2787"/>
    <w:rsid w:val="00DE3D29"/>
    <w:rsid w:val="00DE4774"/>
    <w:rsid w:val="00DF15DD"/>
    <w:rsid w:val="00DF508F"/>
    <w:rsid w:val="00E05761"/>
    <w:rsid w:val="00E068E6"/>
    <w:rsid w:val="00E076B2"/>
    <w:rsid w:val="00E16072"/>
    <w:rsid w:val="00E17DC5"/>
    <w:rsid w:val="00E22925"/>
    <w:rsid w:val="00E27A75"/>
    <w:rsid w:val="00E319A2"/>
    <w:rsid w:val="00E32D84"/>
    <w:rsid w:val="00E4105F"/>
    <w:rsid w:val="00E41410"/>
    <w:rsid w:val="00E43440"/>
    <w:rsid w:val="00E43C75"/>
    <w:rsid w:val="00E452E3"/>
    <w:rsid w:val="00E45D93"/>
    <w:rsid w:val="00E46A07"/>
    <w:rsid w:val="00E518BC"/>
    <w:rsid w:val="00E53DBF"/>
    <w:rsid w:val="00E6035E"/>
    <w:rsid w:val="00E609CE"/>
    <w:rsid w:val="00E6538F"/>
    <w:rsid w:val="00E668C9"/>
    <w:rsid w:val="00E67BEA"/>
    <w:rsid w:val="00E748D7"/>
    <w:rsid w:val="00E9294D"/>
    <w:rsid w:val="00E93828"/>
    <w:rsid w:val="00E95426"/>
    <w:rsid w:val="00E96C89"/>
    <w:rsid w:val="00EA48D1"/>
    <w:rsid w:val="00EA627D"/>
    <w:rsid w:val="00EB50AC"/>
    <w:rsid w:val="00EC12A1"/>
    <w:rsid w:val="00EC19E9"/>
    <w:rsid w:val="00EC29EC"/>
    <w:rsid w:val="00EC45AA"/>
    <w:rsid w:val="00ED4BFC"/>
    <w:rsid w:val="00ED5051"/>
    <w:rsid w:val="00ED6A54"/>
    <w:rsid w:val="00EF078F"/>
    <w:rsid w:val="00EF0ED6"/>
    <w:rsid w:val="00EF18F1"/>
    <w:rsid w:val="00EF3AF8"/>
    <w:rsid w:val="00EF3D2B"/>
    <w:rsid w:val="00F0061E"/>
    <w:rsid w:val="00F03B51"/>
    <w:rsid w:val="00F04BE3"/>
    <w:rsid w:val="00F06CB9"/>
    <w:rsid w:val="00F104B9"/>
    <w:rsid w:val="00F11150"/>
    <w:rsid w:val="00F13856"/>
    <w:rsid w:val="00F17629"/>
    <w:rsid w:val="00F20DA5"/>
    <w:rsid w:val="00F2106F"/>
    <w:rsid w:val="00F2334A"/>
    <w:rsid w:val="00F24979"/>
    <w:rsid w:val="00F24F40"/>
    <w:rsid w:val="00F27F56"/>
    <w:rsid w:val="00F30D7E"/>
    <w:rsid w:val="00F31EBD"/>
    <w:rsid w:val="00F31EC6"/>
    <w:rsid w:val="00F3201B"/>
    <w:rsid w:val="00F33693"/>
    <w:rsid w:val="00F34507"/>
    <w:rsid w:val="00F349DC"/>
    <w:rsid w:val="00F35FCB"/>
    <w:rsid w:val="00F40E06"/>
    <w:rsid w:val="00F44A43"/>
    <w:rsid w:val="00F44AFC"/>
    <w:rsid w:val="00F46357"/>
    <w:rsid w:val="00F46380"/>
    <w:rsid w:val="00F46479"/>
    <w:rsid w:val="00F5586A"/>
    <w:rsid w:val="00F574EA"/>
    <w:rsid w:val="00F60DF0"/>
    <w:rsid w:val="00F648C9"/>
    <w:rsid w:val="00F65E96"/>
    <w:rsid w:val="00F66075"/>
    <w:rsid w:val="00F71702"/>
    <w:rsid w:val="00F7268A"/>
    <w:rsid w:val="00F73789"/>
    <w:rsid w:val="00F80130"/>
    <w:rsid w:val="00F8302F"/>
    <w:rsid w:val="00F835A4"/>
    <w:rsid w:val="00F850D8"/>
    <w:rsid w:val="00F8610E"/>
    <w:rsid w:val="00F87A71"/>
    <w:rsid w:val="00F91C79"/>
    <w:rsid w:val="00F929EA"/>
    <w:rsid w:val="00F96507"/>
    <w:rsid w:val="00FA5289"/>
    <w:rsid w:val="00FB0285"/>
    <w:rsid w:val="00FB2163"/>
    <w:rsid w:val="00FB36DC"/>
    <w:rsid w:val="00FB3D6D"/>
    <w:rsid w:val="00FC4C53"/>
    <w:rsid w:val="00FC5726"/>
    <w:rsid w:val="00FD1BC1"/>
    <w:rsid w:val="00FD1FA3"/>
    <w:rsid w:val="00FD4A4F"/>
    <w:rsid w:val="00FD797B"/>
    <w:rsid w:val="00FE0130"/>
    <w:rsid w:val="00FE0A70"/>
    <w:rsid w:val="00FE0F0D"/>
    <w:rsid w:val="00FE191F"/>
    <w:rsid w:val="00FE3973"/>
    <w:rsid w:val="00FE491E"/>
    <w:rsid w:val="00FE59FE"/>
    <w:rsid w:val="00FF1EBC"/>
    <w:rsid w:val="00FF3CEA"/>
    <w:rsid w:val="00FF3E97"/>
    <w:rsid w:val="00FF4431"/>
    <w:rsid w:val="01D66CA2"/>
    <w:rsid w:val="48137F6D"/>
    <w:rsid w:val="5A6551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0" w:semiHidden="0" w:name="footnote text"/>
    <w:lsdException w:qFormat="1" w:uiPriority="99" w:name="annotation text"/>
    <w:lsdException w:qFormat="1" w:uiPriority="99"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10" w:semiHidden="0" w:name="Title"/>
    <w:lsdException w:uiPriority="99" w:name="Closing"/>
    <w:lsdException w:uiPriority="99" w:name="Signature"/>
    <w:lsdException w:uiPriority="1" w:name="Default Paragraph Font"/>
    <w:lsdException w:qFormat="1"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heme="minorHAnsi" w:hAnsiTheme="minorHAnsi" w:eastAsiaTheme="minorEastAsia" w:cstheme="minorBidi"/>
      <w:kern w:val="2"/>
      <w:sz w:val="32"/>
      <w:szCs w:val="22"/>
      <w:lang w:val="en-US" w:eastAsia="zh-CN" w:bidi="ar-SA"/>
    </w:rPr>
  </w:style>
  <w:style w:type="paragraph" w:styleId="2">
    <w:name w:val="heading 1"/>
    <w:basedOn w:val="1"/>
    <w:next w:val="1"/>
    <w:link w:val="40"/>
    <w:uiPriority w:val="9"/>
    <w:pPr>
      <w:keepNext/>
      <w:keepLines/>
      <w:spacing w:before="340" w:after="330" w:line="578" w:lineRule="auto"/>
      <w:outlineLvl w:val="0"/>
    </w:pPr>
    <w:rPr>
      <w:b/>
      <w:bCs/>
      <w:kern w:val="44"/>
      <w:sz w:val="44"/>
      <w:szCs w:val="44"/>
    </w:rPr>
  </w:style>
  <w:style w:type="paragraph" w:styleId="3">
    <w:name w:val="heading 2"/>
    <w:basedOn w:val="1"/>
    <w:next w:val="1"/>
    <w:link w:val="43"/>
    <w:semiHidden/>
    <w:unhideWhenUsed/>
    <w:qFormat/>
    <w:uiPriority w:val="9"/>
    <w:pPr>
      <w:keepNext/>
      <w:keepLines/>
      <w:spacing w:before="260" w:after="260" w:line="416" w:lineRule="auto"/>
      <w:outlineLvl w:val="1"/>
    </w:pPr>
    <w:rPr>
      <w:rFonts w:asciiTheme="majorHAnsi" w:hAnsiTheme="majorHAnsi" w:eastAsiaTheme="majorEastAsia" w:cstheme="majorBidi"/>
      <w:b/>
      <w:bCs/>
      <w:szCs w:val="32"/>
    </w:rPr>
  </w:style>
  <w:style w:type="character" w:default="1" w:styleId="25">
    <w:name w:val="Default Paragraph Font"/>
    <w:semiHidden/>
    <w:unhideWhenUsed/>
    <w:uiPriority w:val="1"/>
  </w:style>
  <w:style w:type="table" w:default="1" w:styleId="23">
    <w:name w:val="Normal Table"/>
    <w:semiHidden/>
    <w:unhideWhenUsed/>
    <w:uiPriority w:val="99"/>
    <w:tblPr>
      <w:tblCellMar>
        <w:top w:w="0" w:type="dxa"/>
        <w:left w:w="108" w:type="dxa"/>
        <w:bottom w:w="0" w:type="dxa"/>
        <w:right w:w="108" w:type="dxa"/>
      </w:tblCellMar>
    </w:tblPr>
  </w:style>
  <w:style w:type="paragraph" w:styleId="4">
    <w:name w:val="toc 7"/>
    <w:basedOn w:val="1"/>
    <w:next w:val="1"/>
    <w:autoRedefine/>
    <w:unhideWhenUsed/>
    <w:uiPriority w:val="39"/>
    <w:pPr>
      <w:ind w:left="1260"/>
      <w:jc w:val="left"/>
    </w:pPr>
    <w:rPr>
      <w:rFonts w:cstheme="minorHAnsi"/>
      <w:sz w:val="18"/>
      <w:szCs w:val="18"/>
    </w:rPr>
  </w:style>
  <w:style w:type="paragraph" w:styleId="5">
    <w:name w:val="annotation text"/>
    <w:basedOn w:val="1"/>
    <w:link w:val="59"/>
    <w:semiHidden/>
    <w:unhideWhenUsed/>
    <w:qFormat/>
    <w:uiPriority w:val="99"/>
    <w:pPr>
      <w:jc w:val="left"/>
    </w:pPr>
  </w:style>
  <w:style w:type="paragraph" w:styleId="6">
    <w:name w:val="Body Text"/>
    <w:basedOn w:val="1"/>
    <w:link w:val="61"/>
    <w:unhideWhenUsed/>
    <w:qFormat/>
    <w:uiPriority w:val="1"/>
    <w:pPr>
      <w:autoSpaceDE w:val="0"/>
      <w:autoSpaceDN w:val="0"/>
      <w:adjustRightInd w:val="0"/>
      <w:ind w:left="111"/>
      <w:jc w:val="left"/>
    </w:pPr>
    <w:rPr>
      <w:rFonts w:ascii="方正仿宋_GBK" w:hAnsi="方正仿宋_GBK" w:eastAsia="方正仿宋_GBK" w:cs="Times New Roman"/>
      <w:kern w:val="0"/>
      <w:szCs w:val="24"/>
    </w:rPr>
  </w:style>
  <w:style w:type="paragraph" w:styleId="7">
    <w:name w:val="Body Text Indent"/>
    <w:basedOn w:val="1"/>
    <w:link w:val="62"/>
    <w:qFormat/>
    <w:uiPriority w:val="0"/>
    <w:pPr>
      <w:spacing w:after="120"/>
      <w:ind w:left="420" w:leftChars="200"/>
    </w:pPr>
    <w:rPr>
      <w:rFonts w:ascii="Times New Roman" w:hAnsi="Times New Roman" w:eastAsia="方正仿宋_GBK" w:cs="Times New Roman"/>
      <w:szCs w:val="24"/>
    </w:rPr>
  </w:style>
  <w:style w:type="paragraph" w:styleId="8">
    <w:name w:val="toc 5"/>
    <w:basedOn w:val="1"/>
    <w:next w:val="1"/>
    <w:autoRedefine/>
    <w:unhideWhenUsed/>
    <w:uiPriority w:val="39"/>
    <w:pPr>
      <w:ind w:left="840"/>
      <w:jc w:val="left"/>
    </w:pPr>
    <w:rPr>
      <w:rFonts w:cstheme="minorHAnsi"/>
      <w:sz w:val="18"/>
      <w:szCs w:val="18"/>
    </w:rPr>
  </w:style>
  <w:style w:type="paragraph" w:styleId="9">
    <w:name w:val="toc 3"/>
    <w:basedOn w:val="1"/>
    <w:next w:val="1"/>
    <w:autoRedefine/>
    <w:unhideWhenUsed/>
    <w:uiPriority w:val="39"/>
    <w:pPr>
      <w:ind w:left="420"/>
      <w:jc w:val="left"/>
    </w:pPr>
    <w:rPr>
      <w:rFonts w:cstheme="minorHAnsi"/>
      <w:i/>
      <w:iCs/>
      <w:sz w:val="20"/>
      <w:szCs w:val="20"/>
    </w:rPr>
  </w:style>
  <w:style w:type="paragraph" w:styleId="10">
    <w:name w:val="toc 8"/>
    <w:basedOn w:val="1"/>
    <w:next w:val="1"/>
    <w:autoRedefine/>
    <w:unhideWhenUsed/>
    <w:uiPriority w:val="39"/>
    <w:pPr>
      <w:ind w:left="1470"/>
      <w:jc w:val="left"/>
    </w:pPr>
    <w:rPr>
      <w:rFonts w:cstheme="minorHAnsi"/>
      <w:sz w:val="18"/>
      <w:szCs w:val="18"/>
    </w:rPr>
  </w:style>
  <w:style w:type="paragraph" w:styleId="11">
    <w:name w:val="Date"/>
    <w:basedOn w:val="1"/>
    <w:next w:val="1"/>
    <w:link w:val="34"/>
    <w:semiHidden/>
    <w:unhideWhenUsed/>
    <w:uiPriority w:val="99"/>
    <w:pPr>
      <w:ind w:left="100" w:leftChars="2500"/>
    </w:pPr>
  </w:style>
  <w:style w:type="paragraph" w:styleId="12">
    <w:name w:val="Balloon Text"/>
    <w:basedOn w:val="1"/>
    <w:link w:val="31"/>
    <w:semiHidden/>
    <w:unhideWhenUsed/>
    <w:uiPriority w:val="99"/>
    <w:rPr>
      <w:sz w:val="18"/>
      <w:szCs w:val="18"/>
    </w:rPr>
  </w:style>
  <w:style w:type="paragraph" w:styleId="13">
    <w:name w:val="footer"/>
    <w:basedOn w:val="1"/>
    <w:link w:val="30"/>
    <w:unhideWhenUsed/>
    <w:uiPriority w:val="0"/>
    <w:pPr>
      <w:tabs>
        <w:tab w:val="center" w:pos="4153"/>
        <w:tab w:val="right" w:pos="8306"/>
      </w:tabs>
      <w:snapToGrid w:val="0"/>
      <w:jc w:val="left"/>
    </w:pPr>
    <w:rPr>
      <w:sz w:val="18"/>
      <w:szCs w:val="18"/>
    </w:rPr>
  </w:style>
  <w:style w:type="paragraph" w:styleId="14">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unhideWhenUsed/>
    <w:uiPriority w:val="39"/>
    <w:pPr>
      <w:tabs>
        <w:tab w:val="right" w:leader="dot" w:pos="8296"/>
      </w:tabs>
      <w:snapToGrid w:val="0"/>
      <w:spacing w:line="580" w:lineRule="exact"/>
      <w:jc w:val="left"/>
    </w:pPr>
    <w:rPr>
      <w:rFonts w:ascii="Times New Roman" w:hAnsi="Times New Roman" w:eastAsia="方正黑体_GBK" w:cs="Times New Roman"/>
      <w:b/>
      <w:bCs/>
      <w:caps/>
      <w:color w:val="000000" w:themeColor="text1"/>
      <w:kern w:val="44"/>
      <w:szCs w:val="32"/>
      <w14:textFill>
        <w14:solidFill>
          <w14:schemeClr w14:val="tx1"/>
        </w14:solidFill>
      </w14:textFill>
    </w:rPr>
  </w:style>
  <w:style w:type="paragraph" w:styleId="16">
    <w:name w:val="toc 4"/>
    <w:basedOn w:val="1"/>
    <w:next w:val="1"/>
    <w:autoRedefine/>
    <w:unhideWhenUsed/>
    <w:uiPriority w:val="39"/>
    <w:pPr>
      <w:ind w:left="630"/>
      <w:jc w:val="left"/>
    </w:pPr>
    <w:rPr>
      <w:rFonts w:cstheme="minorHAnsi"/>
      <w:sz w:val="18"/>
      <w:szCs w:val="18"/>
    </w:rPr>
  </w:style>
  <w:style w:type="paragraph" w:styleId="17">
    <w:name w:val="footnote text"/>
    <w:basedOn w:val="1"/>
    <w:link w:val="35"/>
    <w:unhideWhenUsed/>
    <w:uiPriority w:val="0"/>
    <w:pPr>
      <w:snapToGrid w:val="0"/>
      <w:spacing w:line="360" w:lineRule="auto"/>
      <w:ind w:firstLine="200" w:firstLineChars="200"/>
      <w:jc w:val="left"/>
    </w:pPr>
    <w:rPr>
      <w:rFonts w:ascii="Times New Roman" w:hAnsi="Times New Roman" w:eastAsia="方正仿宋_GBK"/>
      <w:sz w:val="18"/>
      <w:szCs w:val="18"/>
    </w:rPr>
  </w:style>
  <w:style w:type="paragraph" w:styleId="18">
    <w:name w:val="toc 6"/>
    <w:basedOn w:val="1"/>
    <w:next w:val="1"/>
    <w:autoRedefine/>
    <w:unhideWhenUsed/>
    <w:uiPriority w:val="39"/>
    <w:pPr>
      <w:ind w:left="1050"/>
      <w:jc w:val="left"/>
    </w:pPr>
    <w:rPr>
      <w:rFonts w:cstheme="minorHAnsi"/>
      <w:sz w:val="18"/>
      <w:szCs w:val="18"/>
    </w:rPr>
  </w:style>
  <w:style w:type="paragraph" w:styleId="19">
    <w:name w:val="toc 2"/>
    <w:basedOn w:val="1"/>
    <w:next w:val="1"/>
    <w:autoRedefine/>
    <w:unhideWhenUsed/>
    <w:uiPriority w:val="39"/>
    <w:pPr>
      <w:ind w:left="210"/>
      <w:jc w:val="left"/>
    </w:pPr>
    <w:rPr>
      <w:rFonts w:cstheme="minorHAnsi"/>
      <w:smallCaps/>
      <w:sz w:val="20"/>
      <w:szCs w:val="20"/>
    </w:rPr>
  </w:style>
  <w:style w:type="paragraph" w:styleId="20">
    <w:name w:val="toc 9"/>
    <w:basedOn w:val="1"/>
    <w:next w:val="1"/>
    <w:autoRedefine/>
    <w:unhideWhenUsed/>
    <w:uiPriority w:val="39"/>
    <w:pPr>
      <w:ind w:left="1680"/>
      <w:jc w:val="left"/>
    </w:pPr>
    <w:rPr>
      <w:rFonts w:cstheme="minorHAnsi"/>
      <w:sz w:val="18"/>
      <w:szCs w:val="18"/>
    </w:rPr>
  </w:style>
  <w:style w:type="paragraph" w:styleId="21">
    <w:name w:val="Normal (Web)"/>
    <w:basedOn w:val="1"/>
    <w:unhideWhenUsed/>
    <w:qFormat/>
    <w:uiPriority w:val="99"/>
    <w:pPr>
      <w:widowControl/>
      <w:spacing w:before="100" w:beforeAutospacing="1" w:after="100" w:afterAutospacing="1" w:line="360" w:lineRule="auto"/>
      <w:ind w:firstLine="200" w:firstLineChars="200"/>
      <w:jc w:val="left"/>
    </w:pPr>
    <w:rPr>
      <w:rFonts w:ascii="宋体" w:hAnsi="宋体" w:eastAsia="宋体" w:cs="宋体"/>
      <w:kern w:val="0"/>
      <w:szCs w:val="24"/>
    </w:rPr>
  </w:style>
  <w:style w:type="paragraph" w:styleId="22">
    <w:name w:val="annotation subject"/>
    <w:basedOn w:val="5"/>
    <w:next w:val="5"/>
    <w:link w:val="60"/>
    <w:semiHidden/>
    <w:unhideWhenUsed/>
    <w:qFormat/>
    <w:uiPriority w:val="99"/>
    <w:rPr>
      <w:b/>
      <w:bCs/>
    </w:rPr>
  </w:style>
  <w:style w:type="table" w:styleId="24">
    <w:name w:val="Table Grid"/>
    <w:basedOn w:val="23"/>
    <w:qFormat/>
    <w:uiPriority w:val="39"/>
    <w:rPr>
      <w:rFonts w:ascii="Times New Roman" w:hAnsi="Times New Roman" w:eastAsia="宋体" w:cs="Times New Roma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6">
    <w:name w:val="Hyperlink"/>
    <w:basedOn w:val="25"/>
    <w:unhideWhenUsed/>
    <w:uiPriority w:val="99"/>
    <w:rPr>
      <w:color w:val="0563C1" w:themeColor="hyperlink"/>
      <w:u w:val="single"/>
      <w14:textFill>
        <w14:solidFill>
          <w14:schemeClr w14:val="hlink"/>
        </w14:solidFill>
      </w14:textFill>
    </w:rPr>
  </w:style>
  <w:style w:type="character" w:styleId="27">
    <w:name w:val="annotation reference"/>
    <w:basedOn w:val="25"/>
    <w:semiHidden/>
    <w:unhideWhenUsed/>
    <w:qFormat/>
    <w:uiPriority w:val="99"/>
    <w:rPr>
      <w:sz w:val="21"/>
      <w:szCs w:val="21"/>
    </w:rPr>
  </w:style>
  <w:style w:type="character" w:styleId="28">
    <w:name w:val="footnote reference"/>
    <w:basedOn w:val="25"/>
    <w:semiHidden/>
    <w:unhideWhenUsed/>
    <w:qFormat/>
    <w:uiPriority w:val="0"/>
    <w:rPr>
      <w:vertAlign w:val="superscript"/>
    </w:rPr>
  </w:style>
  <w:style w:type="character" w:customStyle="1" w:styleId="29">
    <w:name w:val="页眉 Char"/>
    <w:basedOn w:val="25"/>
    <w:link w:val="14"/>
    <w:qFormat/>
    <w:uiPriority w:val="99"/>
    <w:rPr>
      <w:sz w:val="18"/>
      <w:szCs w:val="18"/>
    </w:rPr>
  </w:style>
  <w:style w:type="character" w:customStyle="1" w:styleId="30">
    <w:name w:val="页脚 Char"/>
    <w:basedOn w:val="25"/>
    <w:link w:val="13"/>
    <w:qFormat/>
    <w:uiPriority w:val="99"/>
    <w:rPr>
      <w:sz w:val="18"/>
      <w:szCs w:val="18"/>
    </w:rPr>
  </w:style>
  <w:style w:type="character" w:customStyle="1" w:styleId="31">
    <w:name w:val="批注框文本 Char"/>
    <w:basedOn w:val="25"/>
    <w:link w:val="12"/>
    <w:semiHidden/>
    <w:uiPriority w:val="99"/>
    <w:rPr>
      <w:sz w:val="18"/>
      <w:szCs w:val="18"/>
    </w:rPr>
  </w:style>
  <w:style w:type="paragraph" w:customStyle="1" w:styleId="32">
    <w:name w:val="修订1"/>
    <w:hidden/>
    <w:semiHidden/>
    <w:uiPriority w:val="99"/>
    <w:rPr>
      <w:rFonts w:asciiTheme="minorHAnsi" w:hAnsiTheme="minorHAnsi" w:eastAsiaTheme="minorEastAsia" w:cstheme="minorBidi"/>
      <w:kern w:val="2"/>
      <w:sz w:val="21"/>
      <w:szCs w:val="22"/>
      <w:lang w:val="en-US" w:eastAsia="zh-CN" w:bidi="ar-SA"/>
    </w:rPr>
  </w:style>
  <w:style w:type="paragraph" w:styleId="33">
    <w:name w:val="List Paragraph"/>
    <w:basedOn w:val="1"/>
    <w:qFormat/>
    <w:uiPriority w:val="34"/>
    <w:pPr>
      <w:ind w:firstLine="420" w:firstLineChars="200"/>
    </w:pPr>
  </w:style>
  <w:style w:type="character" w:customStyle="1" w:styleId="34">
    <w:name w:val="日期 Char"/>
    <w:basedOn w:val="25"/>
    <w:link w:val="11"/>
    <w:semiHidden/>
    <w:uiPriority w:val="99"/>
    <w:rPr>
      <w:kern w:val="2"/>
      <w:sz w:val="21"/>
      <w:szCs w:val="22"/>
    </w:rPr>
  </w:style>
  <w:style w:type="character" w:customStyle="1" w:styleId="35">
    <w:name w:val="脚注文本 Char"/>
    <w:basedOn w:val="25"/>
    <w:link w:val="17"/>
    <w:qFormat/>
    <w:uiPriority w:val="0"/>
    <w:rPr>
      <w:rFonts w:ascii="Times New Roman" w:hAnsi="Times New Roman" w:eastAsia="方正仿宋_GBK"/>
      <w:kern w:val="2"/>
      <w:sz w:val="18"/>
      <w:szCs w:val="18"/>
    </w:rPr>
  </w:style>
  <w:style w:type="paragraph" w:customStyle="1" w:styleId="36">
    <w:name w:val="正文1"/>
    <w:uiPriority w:val="0"/>
    <w:pPr>
      <w:widowControl w:val="0"/>
      <w:jc w:val="both"/>
    </w:pPr>
    <w:rPr>
      <w:rFonts w:ascii="Calibri" w:hAnsi="Calibri" w:eastAsia="宋体" w:cs="Times New Roman"/>
      <w:kern w:val="2"/>
      <w:sz w:val="21"/>
      <w:szCs w:val="21"/>
      <w:lang w:val="en-US" w:eastAsia="zh-CN" w:bidi="ar-SA"/>
    </w:rPr>
  </w:style>
  <w:style w:type="paragraph" w:customStyle="1" w:styleId="37">
    <w:name w:val="样式1"/>
    <w:basedOn w:val="2"/>
    <w:link w:val="39"/>
    <w:qFormat/>
    <w:uiPriority w:val="99"/>
    <w:pPr>
      <w:adjustRightInd w:val="0"/>
      <w:snapToGrid w:val="0"/>
      <w:spacing w:before="312" w:beforeLines="100" w:after="312" w:afterLines="100" w:line="590" w:lineRule="exact"/>
      <w:ind w:firstLine="800" w:firstLineChars="200"/>
      <w:jc w:val="left"/>
    </w:pPr>
    <w:rPr>
      <w:rFonts w:ascii="Times New Roman" w:hAnsi="Times New Roman" w:eastAsia="方正黑体_GBK" w:cs="Times New Roman"/>
      <w:b w:val="0"/>
      <w:bCs w:val="0"/>
      <w:sz w:val="40"/>
      <w:szCs w:val="40"/>
    </w:rPr>
  </w:style>
  <w:style w:type="paragraph" w:customStyle="1" w:styleId="38">
    <w:name w:val="样式2"/>
    <w:basedOn w:val="3"/>
    <w:link w:val="42"/>
    <w:uiPriority w:val="0"/>
    <w:pPr>
      <w:adjustRightInd w:val="0"/>
      <w:snapToGrid w:val="0"/>
      <w:spacing w:before="156" w:beforeLines="50" w:after="156" w:afterLines="50" w:line="590" w:lineRule="exact"/>
      <w:ind w:firstLine="720" w:firstLineChars="200"/>
      <w:jc w:val="left"/>
    </w:pPr>
    <w:rPr>
      <w:rFonts w:ascii="Times New Roman" w:hAnsi="Times New Roman" w:eastAsia="方正楷体_GBK" w:cs="Times New Roman"/>
      <w:b w:val="0"/>
      <w:bCs w:val="0"/>
      <w:sz w:val="36"/>
      <w:szCs w:val="36"/>
    </w:rPr>
  </w:style>
  <w:style w:type="character" w:customStyle="1" w:styleId="39">
    <w:name w:val="样式1 字符"/>
    <w:basedOn w:val="40"/>
    <w:link w:val="37"/>
    <w:qFormat/>
    <w:uiPriority w:val="99"/>
    <w:rPr>
      <w:rFonts w:ascii="Times New Roman" w:hAnsi="Times New Roman" w:eastAsia="方正黑体_GBK" w:cs="Times New Roman"/>
      <w:b w:val="0"/>
      <w:bCs w:val="0"/>
      <w:kern w:val="44"/>
      <w:sz w:val="40"/>
      <w:szCs w:val="40"/>
    </w:rPr>
  </w:style>
  <w:style w:type="character" w:customStyle="1" w:styleId="40">
    <w:name w:val="标题 1 Char"/>
    <w:basedOn w:val="25"/>
    <w:link w:val="2"/>
    <w:uiPriority w:val="9"/>
    <w:rPr>
      <w:b/>
      <w:bCs/>
      <w:kern w:val="44"/>
      <w:sz w:val="44"/>
      <w:szCs w:val="44"/>
    </w:rPr>
  </w:style>
  <w:style w:type="paragraph" w:customStyle="1" w:styleId="41">
    <w:name w:val="样式3"/>
    <w:basedOn w:val="1"/>
    <w:link w:val="44"/>
    <w:uiPriority w:val="0"/>
    <w:pPr>
      <w:spacing w:line="360" w:lineRule="auto"/>
      <w:ind w:firstLine="640" w:firstLineChars="200"/>
      <w:outlineLvl w:val="2"/>
    </w:pPr>
    <w:rPr>
      <w:rFonts w:ascii="方正楷体_GBK" w:hAnsi="Times New Roman" w:eastAsia="方正楷体_GBK"/>
    </w:rPr>
  </w:style>
  <w:style w:type="character" w:customStyle="1" w:styleId="42">
    <w:name w:val="样式2 字符"/>
    <w:basedOn w:val="43"/>
    <w:link w:val="38"/>
    <w:qFormat/>
    <w:uiPriority w:val="0"/>
    <w:rPr>
      <w:rFonts w:ascii="Times New Roman" w:hAnsi="Times New Roman" w:eastAsia="方正楷体_GBK" w:cs="Times New Roman"/>
      <w:b w:val="0"/>
      <w:bCs w:val="0"/>
      <w:kern w:val="2"/>
      <w:sz w:val="36"/>
      <w:szCs w:val="36"/>
    </w:rPr>
  </w:style>
  <w:style w:type="character" w:customStyle="1" w:styleId="43">
    <w:name w:val="标题 2 Char"/>
    <w:basedOn w:val="25"/>
    <w:link w:val="3"/>
    <w:semiHidden/>
    <w:uiPriority w:val="9"/>
    <w:rPr>
      <w:rFonts w:asciiTheme="majorHAnsi" w:hAnsiTheme="majorHAnsi" w:eastAsiaTheme="majorEastAsia" w:cstheme="majorBidi"/>
      <w:b/>
      <w:bCs/>
      <w:kern w:val="2"/>
      <w:sz w:val="32"/>
      <w:szCs w:val="32"/>
    </w:rPr>
  </w:style>
  <w:style w:type="character" w:customStyle="1" w:styleId="44">
    <w:name w:val="样式3 字符"/>
    <w:basedOn w:val="25"/>
    <w:link w:val="41"/>
    <w:uiPriority w:val="0"/>
    <w:rPr>
      <w:rFonts w:ascii="方正楷体_GBK" w:hAnsi="Times New Roman" w:eastAsia="方正楷体_GBK"/>
      <w:kern w:val="2"/>
      <w:sz w:val="32"/>
      <w:szCs w:val="22"/>
    </w:rPr>
  </w:style>
  <w:style w:type="paragraph" w:customStyle="1" w:styleId="45">
    <w:name w:val="标题3"/>
    <w:basedOn w:val="1"/>
    <w:next w:val="1"/>
    <w:link w:val="46"/>
    <w:uiPriority w:val="99"/>
    <w:pPr>
      <w:autoSpaceDE w:val="0"/>
      <w:autoSpaceDN w:val="0"/>
      <w:snapToGrid w:val="0"/>
      <w:spacing w:line="590" w:lineRule="atLeast"/>
      <w:ind w:firstLine="624"/>
    </w:pPr>
    <w:rPr>
      <w:rFonts w:ascii="Times New Roman" w:hAnsi="Times New Roman" w:eastAsia="方正黑体_GBK" w:cs="Times New Roman"/>
      <w:kern w:val="0"/>
      <w:szCs w:val="32"/>
    </w:rPr>
  </w:style>
  <w:style w:type="character" w:customStyle="1" w:styleId="46">
    <w:name w:val="标题3 Char"/>
    <w:link w:val="45"/>
    <w:locked/>
    <w:uiPriority w:val="99"/>
    <w:rPr>
      <w:rFonts w:ascii="Times New Roman" w:hAnsi="Times New Roman" w:eastAsia="方正黑体_GBK" w:cs="Times New Roman"/>
      <w:sz w:val="32"/>
      <w:szCs w:val="32"/>
    </w:rPr>
  </w:style>
  <w:style w:type="character" w:customStyle="1" w:styleId="47">
    <w:name w:val="默认段落字体1"/>
    <w:semiHidden/>
    <w:uiPriority w:val="0"/>
  </w:style>
  <w:style w:type="paragraph" w:customStyle="1" w:styleId="48">
    <w:name w:val="正文_0"/>
    <w:uiPriority w:val="0"/>
    <w:pPr>
      <w:widowControl w:val="0"/>
      <w:spacing w:before="200" w:after="200" w:line="100" w:lineRule="auto"/>
      <w:jc w:val="both"/>
    </w:pPr>
    <w:rPr>
      <w:rFonts w:ascii="Calibri" w:hAnsi="Calibri" w:eastAsia="宋体" w:cs="Times New Roman"/>
      <w:kern w:val="2"/>
      <w:sz w:val="21"/>
      <w:szCs w:val="22"/>
      <w:lang w:val="en-US" w:eastAsia="zh-CN" w:bidi="ar-SA"/>
    </w:rPr>
  </w:style>
  <w:style w:type="paragraph" w:customStyle="1" w:styleId="49">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50">
    <w:name w:val="三级"/>
    <w:basedOn w:val="1"/>
    <w:link w:val="51"/>
    <w:qFormat/>
    <w:uiPriority w:val="0"/>
    <w:pPr>
      <w:adjustRightInd w:val="0"/>
      <w:spacing w:line="560" w:lineRule="exact"/>
      <w:ind w:firstLine="643" w:firstLineChars="200"/>
      <w:outlineLvl w:val="2"/>
    </w:pPr>
    <w:rPr>
      <w:rFonts w:ascii="Times New Roman" w:hAnsi="Times New Roman" w:eastAsia="仿宋_GB2312" w:cs="Times New Roman"/>
      <w:szCs w:val="32"/>
      <w:shd w:val="clear" w:color="auto" w:fill="FFFFFF"/>
    </w:rPr>
  </w:style>
  <w:style w:type="character" w:customStyle="1" w:styleId="51">
    <w:name w:val="三级 Char"/>
    <w:link w:val="50"/>
    <w:uiPriority w:val="0"/>
    <w:rPr>
      <w:rFonts w:ascii="Times New Roman" w:hAnsi="Times New Roman" w:eastAsia="仿宋_GB2312" w:cs="Times New Roman"/>
      <w:kern w:val="2"/>
      <w:sz w:val="32"/>
      <w:szCs w:val="32"/>
    </w:rPr>
  </w:style>
  <w:style w:type="paragraph" w:customStyle="1" w:styleId="52">
    <w:name w:val="二级"/>
    <w:basedOn w:val="1"/>
    <w:next w:val="50"/>
    <w:link w:val="53"/>
    <w:qFormat/>
    <w:uiPriority w:val="0"/>
    <w:pPr>
      <w:ind w:firstLine="200" w:firstLineChars="200"/>
      <w:outlineLvl w:val="3"/>
    </w:pPr>
    <w:rPr>
      <w:rFonts w:ascii="楷体_GB2312" w:hAnsi="Times New Roman" w:eastAsia="楷体_GB2312" w:cs="Times New Roman"/>
      <w:b/>
      <w:szCs w:val="24"/>
    </w:rPr>
  </w:style>
  <w:style w:type="character" w:customStyle="1" w:styleId="53">
    <w:name w:val="二级 Char"/>
    <w:link w:val="52"/>
    <w:uiPriority w:val="0"/>
    <w:rPr>
      <w:rFonts w:ascii="楷体_GB2312" w:hAnsi="Times New Roman" w:eastAsia="楷体_GB2312" w:cs="Times New Roman"/>
      <w:b/>
      <w:kern w:val="2"/>
      <w:sz w:val="32"/>
      <w:szCs w:val="24"/>
    </w:rPr>
  </w:style>
  <w:style w:type="paragraph" w:customStyle="1" w:styleId="54">
    <w:name w:val="Revision"/>
    <w:hidden/>
    <w:semiHidden/>
    <w:uiPriority w:val="99"/>
    <w:rPr>
      <w:rFonts w:asciiTheme="minorHAnsi" w:hAnsiTheme="minorHAnsi" w:eastAsiaTheme="minorEastAsia" w:cstheme="minorBidi"/>
      <w:kern w:val="2"/>
      <w:sz w:val="21"/>
      <w:szCs w:val="22"/>
      <w:lang w:val="en-US" w:eastAsia="zh-CN" w:bidi="ar-SA"/>
    </w:rPr>
  </w:style>
  <w:style w:type="paragraph" w:customStyle="1" w:styleId="55">
    <w:name w:val="一级"/>
    <w:basedOn w:val="1"/>
    <w:next w:val="52"/>
    <w:link w:val="56"/>
    <w:qFormat/>
    <w:uiPriority w:val="0"/>
    <w:pPr>
      <w:overflowPunct w:val="0"/>
      <w:autoSpaceDE w:val="0"/>
      <w:autoSpaceDN w:val="0"/>
      <w:spacing w:line="560" w:lineRule="exact"/>
      <w:ind w:firstLine="640" w:firstLineChars="200"/>
      <w:outlineLvl w:val="0"/>
    </w:pPr>
    <w:rPr>
      <w:rFonts w:ascii="Times New Roman" w:hAnsi="Times New Roman" w:eastAsia="黑体" w:cs="Times New Roman"/>
      <w:color w:val="000000"/>
      <w:szCs w:val="32"/>
    </w:rPr>
  </w:style>
  <w:style w:type="character" w:customStyle="1" w:styleId="56">
    <w:name w:val="一级 Char"/>
    <w:link w:val="55"/>
    <w:qFormat/>
    <w:uiPriority w:val="0"/>
    <w:rPr>
      <w:rFonts w:ascii="Times New Roman" w:hAnsi="Times New Roman" w:eastAsia="黑体" w:cs="Times New Roman"/>
      <w:color w:val="000000"/>
      <w:kern w:val="2"/>
      <w:sz w:val="32"/>
      <w:szCs w:val="32"/>
    </w:rPr>
  </w:style>
  <w:style w:type="character" w:customStyle="1" w:styleId="57">
    <w:name w:val="责任单位 Char"/>
    <w:link w:val="58"/>
    <w:qFormat/>
    <w:uiPriority w:val="3"/>
    <w:rPr>
      <w:rFonts w:eastAsia="楷体_GB2312"/>
      <w:kern w:val="2"/>
      <w:sz w:val="32"/>
      <w:szCs w:val="22"/>
    </w:rPr>
  </w:style>
  <w:style w:type="paragraph" w:customStyle="1" w:styleId="58">
    <w:name w:val="责任单位"/>
    <w:basedOn w:val="1"/>
    <w:link w:val="57"/>
    <w:qFormat/>
    <w:uiPriority w:val="3"/>
    <w:pPr>
      <w:overflowPunct w:val="0"/>
      <w:autoSpaceDE w:val="0"/>
      <w:autoSpaceDN w:val="0"/>
      <w:spacing w:line="560" w:lineRule="exact"/>
      <w:ind w:firstLine="200" w:firstLineChars="200"/>
    </w:pPr>
    <w:rPr>
      <w:rFonts w:eastAsia="楷体_GB2312"/>
    </w:rPr>
  </w:style>
  <w:style w:type="character" w:customStyle="1" w:styleId="59">
    <w:name w:val="批注文字 Char"/>
    <w:basedOn w:val="25"/>
    <w:link w:val="5"/>
    <w:semiHidden/>
    <w:qFormat/>
    <w:uiPriority w:val="99"/>
    <w:rPr>
      <w:kern w:val="2"/>
      <w:sz w:val="32"/>
      <w:szCs w:val="22"/>
    </w:rPr>
  </w:style>
  <w:style w:type="character" w:customStyle="1" w:styleId="60">
    <w:name w:val="批注主题 Char"/>
    <w:basedOn w:val="59"/>
    <w:link w:val="22"/>
    <w:semiHidden/>
    <w:qFormat/>
    <w:uiPriority w:val="99"/>
    <w:rPr>
      <w:b/>
      <w:bCs/>
      <w:kern w:val="2"/>
      <w:sz w:val="32"/>
      <w:szCs w:val="22"/>
    </w:rPr>
  </w:style>
  <w:style w:type="character" w:customStyle="1" w:styleId="61">
    <w:name w:val="正文文本 Char"/>
    <w:basedOn w:val="25"/>
    <w:link w:val="6"/>
    <w:qFormat/>
    <w:uiPriority w:val="1"/>
    <w:rPr>
      <w:rFonts w:ascii="方正仿宋_GBK" w:hAnsi="方正仿宋_GBK" w:eastAsia="方正仿宋_GBK" w:cs="Times New Roman"/>
      <w:sz w:val="32"/>
      <w:szCs w:val="24"/>
    </w:rPr>
  </w:style>
  <w:style w:type="character" w:customStyle="1" w:styleId="62">
    <w:name w:val="正文文本缩进 Char"/>
    <w:basedOn w:val="25"/>
    <w:link w:val="7"/>
    <w:qFormat/>
    <w:uiPriority w:val="0"/>
    <w:rPr>
      <w:rFonts w:ascii="Times New Roman" w:hAnsi="Times New Roman" w:eastAsia="方正仿宋_GBK" w:cs="Times New Roman"/>
      <w:kern w:val="2"/>
      <w:sz w:val="32"/>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2126C1-2574-4D06-A229-C8ADA68560CE}">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20</Pages>
  <Words>10240</Words>
  <Characters>10374</Characters>
  <Lines>74</Lines>
  <Paragraphs>20</Paragraphs>
  <TotalTime>654</TotalTime>
  <ScaleCrop>false</ScaleCrop>
  <LinksUpToDate>false</LinksUpToDate>
  <CharactersWithSpaces>10399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2024-12-30T08:20:00Z</dcterms:created>
  <dc:creator>shijq</dc:creator>
  <cp:lastModifiedBy>初醒</cp:lastModifiedBy>
  <cp:lastPrinted>2026-07-02T02:49:00Z</cp:lastPrinted>
  <dcterms:modified xsi:type="dcterms:W3CDTF">2026-07-02T03:12:21Z</dcterms:modified>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eyJoZGlkIjoiZTNlOTA1MTBlOGY1OWY2MTJmZjVhOTVmZThkOTk3YjciLCJ1c2VySWQiOiI1NjEyMTY2NDQifQ==</vt:lpwstr>
  </property>
  <property fmtid="{D5CDD505-2E9C-101B-9397-08002B2CF9AE}" pid="4" name="ICV">
    <vt:lpwstr>6EEBFF942EF24787B478BA44E32422FA_13</vt:lpwstr>
  </property>
</Properties>
</file>